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68B85" w14:textId="77777777" w:rsidR="00C50267" w:rsidRDefault="00F92268" w:rsidP="00C50267">
      <w:pPr>
        <w:pStyle w:val="BodyText"/>
        <w:rPr>
          <w:sz w:val="6"/>
          <w:szCs w:val="6"/>
        </w:rPr>
      </w:pPr>
      <w:r w:rsidRPr="00BD1CC1">
        <w:rPr>
          <w:noProof/>
        </w:rPr>
        <w:drawing>
          <wp:inline distT="0" distB="0" distL="0" distR="0" wp14:anchorId="09E2C107" wp14:editId="5B13D85F">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82692D" w:rsidRPr="00BD1CC1" w14:paraId="69A96126" w14:textId="77777777" w:rsidTr="003E40BB">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E343B6" w14:textId="77777777" w:rsidR="0082692D" w:rsidRPr="00A21A40" w:rsidRDefault="0082692D" w:rsidP="003E40BB">
            <w:pPr>
              <w:pStyle w:val="Header"/>
              <w:rPr>
                <w:rFonts w:cs="Arial"/>
                <w:sz w:val="16"/>
                <w:szCs w:val="16"/>
              </w:rPr>
            </w:pPr>
            <w:r w:rsidRPr="00A21A40">
              <w:rPr>
                <w:rFonts w:cs="Arial"/>
                <w:sz w:val="16"/>
                <w:szCs w:val="16"/>
              </w:rPr>
              <w:t>Reference number(s)</w:t>
            </w:r>
          </w:p>
        </w:tc>
      </w:tr>
      <w:tr w:rsidR="0082692D" w:rsidRPr="00BD1CC1" w14:paraId="1876760F" w14:textId="77777777" w:rsidTr="003E40BB">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2200EC50" w14:textId="77777777" w:rsidR="0082692D" w:rsidRPr="00BF0BC8" w:rsidRDefault="0082692D" w:rsidP="003E40BB">
            <w:pPr>
              <w:pStyle w:val="Header"/>
              <w:rPr>
                <w:rFonts w:cs="Arial"/>
                <w:sz w:val="16"/>
                <w:szCs w:val="16"/>
              </w:rPr>
            </w:pPr>
            <w:r w:rsidRPr="00BF0BC8">
              <w:rPr>
                <w:rFonts w:cs="Arial"/>
                <w:sz w:val="16"/>
                <w:szCs w:val="16"/>
              </w:rPr>
              <w:t>16-J</w:t>
            </w:r>
          </w:p>
        </w:tc>
      </w:tr>
    </w:tbl>
    <w:p w14:paraId="18814B45" w14:textId="77777777" w:rsidR="008F2143" w:rsidRDefault="008F2143" w:rsidP="006E1A49">
      <w:pPr>
        <w:pStyle w:val="Heading1"/>
        <w:spacing w:before="100" w:beforeAutospacing="1" w:after="0"/>
        <w:jc w:val="left"/>
        <w:sectPr w:rsidR="008F2143" w:rsidSect="008F2143">
          <w:footerReference w:type="default" r:id="rId12"/>
          <w:footerReference w:type="first" r:id="rId13"/>
          <w:type w:val="continuous"/>
          <w:pgSz w:w="12240" w:h="15840" w:code="1"/>
          <w:pgMar w:top="900" w:right="720" w:bottom="990" w:left="720" w:header="720" w:footer="807" w:gutter="0"/>
          <w:paperSrc w:first="15" w:other="15"/>
          <w:cols w:space="720"/>
          <w:docGrid w:linePitch="299"/>
        </w:sectPr>
      </w:pPr>
    </w:p>
    <w:p w14:paraId="5AD62F57" w14:textId="22A4F114" w:rsidR="004B15BB" w:rsidRPr="006D3D2F" w:rsidRDefault="000079A7" w:rsidP="006E1A49">
      <w:pPr>
        <w:pStyle w:val="Heading1"/>
        <w:spacing w:before="100" w:beforeAutospacing="1"/>
        <w:rPr>
          <w:bCs/>
          <w:szCs w:val="56"/>
        </w:rPr>
      </w:pPr>
      <w:r>
        <w:t>Post</w:t>
      </w:r>
      <w:r w:rsidR="00CE67AB">
        <w:t xml:space="preserve"> Limit </w:t>
      </w:r>
      <w:r w:rsidR="00CC706D">
        <w:t>P</w:t>
      </w:r>
      <w:r w:rsidR="00CC706D" w:rsidRPr="00CC706D">
        <w:t xml:space="preserve">rior </w:t>
      </w:r>
      <w:r w:rsidR="00CC706D">
        <w:t>A</w:t>
      </w:r>
      <w:r w:rsidR="00CC706D" w:rsidRPr="00CC706D">
        <w:t>uthorization</w:t>
      </w:r>
      <w:r w:rsidR="006D3D2F">
        <w:br/>
      </w:r>
      <w:r w:rsidR="006D3D2F" w:rsidRPr="006D3D2F">
        <w:rPr>
          <w:bCs/>
          <w:caps/>
          <w:szCs w:val="56"/>
        </w:rPr>
        <w:t>A</w:t>
      </w:r>
      <w:r w:rsidR="006D3D2F" w:rsidRPr="006D3D2F">
        <w:rPr>
          <w:bCs/>
          <w:szCs w:val="56"/>
        </w:rPr>
        <w:t>ntiemetic</w:t>
      </w:r>
      <w:r w:rsidR="005C465D">
        <w:rPr>
          <w:bCs/>
          <w:szCs w:val="56"/>
        </w:rPr>
        <w:t xml:space="preserve"> 5-HT3</w:t>
      </w:r>
      <w:r w:rsidR="00EE554E">
        <w:rPr>
          <w:bCs/>
          <w:szCs w:val="56"/>
        </w:rPr>
        <w:br/>
        <w:t>Antiemetic</w:t>
      </w:r>
      <w:r w:rsidR="006D3D2F" w:rsidRPr="006D3D2F">
        <w:rPr>
          <w:bCs/>
          <w:caps/>
          <w:szCs w:val="56"/>
        </w:rPr>
        <w:t xml:space="preserve"> A</w:t>
      </w:r>
      <w:r w:rsidR="006D3D2F" w:rsidRPr="006D3D2F">
        <w:rPr>
          <w:bCs/>
          <w:szCs w:val="56"/>
        </w:rPr>
        <w:t>gents</w:t>
      </w:r>
      <w:r w:rsidR="006D3D2F" w:rsidRPr="006D3D2F">
        <w:rPr>
          <w:bCs/>
          <w:caps/>
          <w:szCs w:val="56"/>
        </w:rPr>
        <w:t xml:space="preserve"> – 5</w:t>
      </w:r>
      <w:r w:rsidR="001F244B">
        <w:rPr>
          <w:bCs/>
          <w:caps/>
          <w:szCs w:val="56"/>
        </w:rPr>
        <w:t>-</w:t>
      </w:r>
      <w:r w:rsidR="006D3D2F" w:rsidRPr="006D3D2F">
        <w:rPr>
          <w:bCs/>
          <w:caps/>
          <w:szCs w:val="56"/>
        </w:rPr>
        <w:t>HT3</w:t>
      </w:r>
      <w:r w:rsidR="006D3D2F" w:rsidRPr="006D3D2F">
        <w:rPr>
          <w:bCs/>
          <w:caps/>
          <w:szCs w:val="56"/>
          <w:vertAlign w:val="subscript"/>
        </w:rPr>
        <w:t xml:space="preserve"> </w:t>
      </w:r>
      <w:r w:rsidR="006D3D2F" w:rsidRPr="006D3D2F">
        <w:rPr>
          <w:bCs/>
          <w:caps/>
          <w:szCs w:val="56"/>
        </w:rPr>
        <w:t>a</w:t>
      </w:r>
      <w:r w:rsidR="006D3D2F" w:rsidRPr="006D3D2F">
        <w:rPr>
          <w:bCs/>
          <w:szCs w:val="56"/>
        </w:rPr>
        <w:t>ntagonists</w:t>
      </w:r>
    </w:p>
    <w:p w14:paraId="65E2F40B" w14:textId="77777777" w:rsidR="00203468" w:rsidRPr="00BD1CC1" w:rsidRDefault="00C64534" w:rsidP="008E0F0D">
      <w:pPr>
        <w:pStyle w:val="Heading2"/>
      </w:pPr>
      <w:r w:rsidRPr="00BD1CC1">
        <w:t xml:space="preserve">Products Referenced by this </w:t>
      </w:r>
      <w:r w:rsidR="00501602" w:rsidRPr="00BD1CC1">
        <w:t>Document</w:t>
      </w:r>
    </w:p>
    <w:p w14:paraId="4EB94939" w14:textId="77777777" w:rsidR="00E6213B"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F37E87">
        <w:t>Over</w:t>
      </w:r>
      <w:r w:rsidR="00BC4692">
        <w:t>-</w:t>
      </w:r>
      <w:r w:rsidR="00F37E87">
        <w:t>the</w:t>
      </w:r>
      <w:r w:rsidR="00BC4692">
        <w:t>-</w:t>
      </w:r>
      <w:r w:rsidR="00F37E87">
        <w:t>counter (</w:t>
      </w:r>
      <w:r w:rsidRPr="00BD1CC1">
        <w:t>OTC</w:t>
      </w:r>
      <w:r w:rsidR="00F37E87">
        <w:t>)</w:t>
      </w:r>
      <w:r w:rsidRPr="00BD1CC1">
        <w:t xml:space="preserve"> products are not included unless otherwise stated.</w:t>
      </w:r>
    </w:p>
    <w:tbl>
      <w:tblPr>
        <w:tblStyle w:val="TableGrid1"/>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3532"/>
        <w:gridCol w:w="3531"/>
        <w:gridCol w:w="3707"/>
      </w:tblGrid>
      <w:tr w:rsidR="002A48D2" w:rsidRPr="002A48D2" w14:paraId="2F1A27B9" w14:textId="77777777" w:rsidTr="008F2143">
        <w:trPr>
          <w:cantSplit/>
          <w:trHeight w:val="288"/>
          <w:tblHeader/>
        </w:trPr>
        <w:tc>
          <w:tcPr>
            <w:tcW w:w="3532" w:type="dxa"/>
            <w:vAlign w:val="center"/>
          </w:tcPr>
          <w:p w14:paraId="70D7BF86" w14:textId="77777777" w:rsidR="002A48D2" w:rsidRPr="002A48D2" w:rsidRDefault="002A48D2" w:rsidP="008F2143">
            <w:pPr>
              <w:pStyle w:val="TableHeader"/>
            </w:pPr>
            <w:bookmarkStart w:id="0" w:name="_Hlk181961910"/>
            <w:r w:rsidRPr="002A48D2">
              <w:t>Brand Name</w:t>
            </w:r>
          </w:p>
        </w:tc>
        <w:tc>
          <w:tcPr>
            <w:tcW w:w="3531" w:type="dxa"/>
          </w:tcPr>
          <w:p w14:paraId="1FDB6022" w14:textId="77777777" w:rsidR="002A48D2" w:rsidRPr="002A48D2" w:rsidRDefault="002A48D2" w:rsidP="008F2143">
            <w:pPr>
              <w:pStyle w:val="TableHeader"/>
            </w:pPr>
            <w:r w:rsidRPr="002A48D2">
              <w:t>Generic Name</w:t>
            </w:r>
          </w:p>
        </w:tc>
        <w:tc>
          <w:tcPr>
            <w:tcW w:w="3707" w:type="dxa"/>
            <w:vAlign w:val="center"/>
          </w:tcPr>
          <w:p w14:paraId="3E03B3EC" w14:textId="77777777" w:rsidR="002A48D2" w:rsidRPr="002A48D2" w:rsidRDefault="002A48D2" w:rsidP="008F2143">
            <w:pPr>
              <w:pStyle w:val="TableHeader"/>
            </w:pPr>
            <w:r w:rsidRPr="002A48D2">
              <w:t>Dosage Form</w:t>
            </w:r>
          </w:p>
        </w:tc>
      </w:tr>
      <w:tr w:rsidR="002A48D2" w:rsidRPr="002A48D2" w14:paraId="2EAF30E0" w14:textId="77777777" w:rsidTr="008F2143">
        <w:trPr>
          <w:cantSplit/>
        </w:trPr>
        <w:tc>
          <w:tcPr>
            <w:tcW w:w="3532" w:type="dxa"/>
          </w:tcPr>
          <w:p w14:paraId="2425CF22" w14:textId="18717C39" w:rsidR="002A48D2" w:rsidRPr="002A48D2" w:rsidRDefault="002A48D2" w:rsidP="008F2143">
            <w:pPr>
              <w:pStyle w:val="TableDataUnpadded"/>
            </w:pPr>
            <w:r w:rsidRPr="00D976C1">
              <w:t>Anzemet</w:t>
            </w:r>
          </w:p>
        </w:tc>
        <w:tc>
          <w:tcPr>
            <w:tcW w:w="3531" w:type="dxa"/>
          </w:tcPr>
          <w:p w14:paraId="59881A8D" w14:textId="195D5F74" w:rsidR="002A48D2" w:rsidRPr="002A48D2" w:rsidRDefault="002A48D2" w:rsidP="008F2143">
            <w:pPr>
              <w:pStyle w:val="TableDataUnpadded"/>
            </w:pPr>
            <w:r w:rsidRPr="00D976C1">
              <w:t>dolasetron mesylate</w:t>
            </w:r>
          </w:p>
        </w:tc>
        <w:tc>
          <w:tcPr>
            <w:tcW w:w="3707" w:type="dxa"/>
          </w:tcPr>
          <w:p w14:paraId="556F6CD6" w14:textId="26973797" w:rsidR="002A48D2" w:rsidRPr="002A48D2" w:rsidRDefault="002A48D2" w:rsidP="008F2143">
            <w:pPr>
              <w:pStyle w:val="TableDataUnpadded"/>
              <w:rPr>
                <w:szCs w:val="24"/>
              </w:rPr>
            </w:pPr>
            <w:r>
              <w:t>all</w:t>
            </w:r>
          </w:p>
        </w:tc>
      </w:tr>
      <w:tr w:rsidR="002A48D2" w:rsidRPr="002A48D2" w14:paraId="2148E41A" w14:textId="77777777" w:rsidTr="008F2143">
        <w:trPr>
          <w:cantSplit/>
        </w:trPr>
        <w:tc>
          <w:tcPr>
            <w:tcW w:w="3532" w:type="dxa"/>
          </w:tcPr>
          <w:p w14:paraId="11F2C0C4" w14:textId="312365E0" w:rsidR="002A48D2" w:rsidRPr="002A48D2" w:rsidRDefault="002A48D2" w:rsidP="008F2143">
            <w:pPr>
              <w:pStyle w:val="TableDataUnpadded"/>
            </w:pPr>
            <w:r w:rsidRPr="00D976C1">
              <w:t>granisetron hydrochloride</w:t>
            </w:r>
            <w:r>
              <w:t xml:space="preserve"> (brand unavailable)</w:t>
            </w:r>
          </w:p>
        </w:tc>
        <w:tc>
          <w:tcPr>
            <w:tcW w:w="3531" w:type="dxa"/>
          </w:tcPr>
          <w:p w14:paraId="28D9EC4E" w14:textId="702F3BA6" w:rsidR="002A48D2" w:rsidRPr="002A48D2" w:rsidRDefault="002A48D2" w:rsidP="008F2143">
            <w:pPr>
              <w:pStyle w:val="TableDataUnpadded"/>
            </w:pPr>
            <w:r w:rsidRPr="00D976C1">
              <w:t>granisetron hydrochloride</w:t>
            </w:r>
          </w:p>
        </w:tc>
        <w:tc>
          <w:tcPr>
            <w:tcW w:w="3707" w:type="dxa"/>
          </w:tcPr>
          <w:p w14:paraId="4B4B42A7" w14:textId="0FB5C0C1" w:rsidR="002A48D2" w:rsidRPr="002A48D2" w:rsidRDefault="002A48D2" w:rsidP="008F2143">
            <w:pPr>
              <w:pStyle w:val="TableDataUnpadded"/>
              <w:rPr>
                <w:szCs w:val="24"/>
              </w:rPr>
            </w:pPr>
            <w:r>
              <w:t>all</w:t>
            </w:r>
          </w:p>
        </w:tc>
      </w:tr>
      <w:tr w:rsidR="002A48D2" w:rsidRPr="002A48D2" w14:paraId="2E64B010" w14:textId="77777777" w:rsidTr="008F2143">
        <w:trPr>
          <w:cantSplit/>
        </w:trPr>
        <w:tc>
          <w:tcPr>
            <w:tcW w:w="3532" w:type="dxa"/>
          </w:tcPr>
          <w:p w14:paraId="04636E59" w14:textId="6A3EE1D0" w:rsidR="002A48D2" w:rsidRPr="002A48D2" w:rsidRDefault="002A48D2" w:rsidP="008F2143">
            <w:pPr>
              <w:pStyle w:val="TableDataUnpadded"/>
            </w:pPr>
            <w:r>
              <w:t>o</w:t>
            </w:r>
            <w:r w:rsidRPr="00D976C1">
              <w:t>ndansetron</w:t>
            </w:r>
            <w:r>
              <w:t xml:space="preserve"> (brand unavailable)</w:t>
            </w:r>
          </w:p>
        </w:tc>
        <w:tc>
          <w:tcPr>
            <w:tcW w:w="3531" w:type="dxa"/>
          </w:tcPr>
          <w:p w14:paraId="758D08F2" w14:textId="3A704E4A" w:rsidR="002A48D2" w:rsidRPr="002A48D2" w:rsidRDefault="002A48D2" w:rsidP="008F2143">
            <w:pPr>
              <w:pStyle w:val="TableDataUnpadded"/>
            </w:pPr>
            <w:r w:rsidRPr="00D976C1">
              <w:t>ondansetron</w:t>
            </w:r>
          </w:p>
        </w:tc>
        <w:tc>
          <w:tcPr>
            <w:tcW w:w="3707" w:type="dxa"/>
          </w:tcPr>
          <w:p w14:paraId="3E9D2A18" w14:textId="7A8683AF" w:rsidR="002A48D2" w:rsidRPr="002A48D2" w:rsidRDefault="002A48D2" w:rsidP="008F2143">
            <w:pPr>
              <w:pStyle w:val="TableDataUnpadded"/>
              <w:rPr>
                <w:szCs w:val="24"/>
              </w:rPr>
            </w:pPr>
            <w:r w:rsidRPr="00D976C1">
              <w:t>oral disintegrating tablet</w:t>
            </w:r>
          </w:p>
        </w:tc>
      </w:tr>
      <w:tr w:rsidR="002A48D2" w:rsidRPr="002A48D2" w14:paraId="38DEC64E" w14:textId="77777777" w:rsidTr="008F2143">
        <w:trPr>
          <w:cantSplit/>
        </w:trPr>
        <w:tc>
          <w:tcPr>
            <w:tcW w:w="3532" w:type="dxa"/>
          </w:tcPr>
          <w:p w14:paraId="67C32B61" w14:textId="07967DA4" w:rsidR="002A48D2" w:rsidRPr="002A48D2" w:rsidRDefault="002A48D2" w:rsidP="008F2143">
            <w:pPr>
              <w:pStyle w:val="TableDataUnpadded"/>
            </w:pPr>
            <w:proofErr w:type="spellStart"/>
            <w:proofErr w:type="gramStart"/>
            <w:r w:rsidRPr="00D976C1">
              <w:rPr>
                <w:lang w:val="fr-FR"/>
              </w:rPr>
              <w:t>ondansetron</w:t>
            </w:r>
            <w:proofErr w:type="spellEnd"/>
            <w:proofErr w:type="gramEnd"/>
            <w:r w:rsidRPr="00D976C1">
              <w:rPr>
                <w:lang w:val="fr-FR"/>
              </w:rPr>
              <w:t xml:space="preserve"> </w:t>
            </w:r>
            <w:proofErr w:type="spellStart"/>
            <w:r w:rsidRPr="00D976C1">
              <w:rPr>
                <w:lang w:val="fr-FR"/>
              </w:rPr>
              <w:t>hydrochloride</w:t>
            </w:r>
            <w:proofErr w:type="spellEnd"/>
            <w:r>
              <w:rPr>
                <w:lang w:val="fr-FR"/>
              </w:rPr>
              <w:t xml:space="preserve"> (brand </w:t>
            </w:r>
            <w:proofErr w:type="spellStart"/>
            <w:r>
              <w:rPr>
                <w:lang w:val="fr-FR"/>
              </w:rPr>
              <w:t>unavailable</w:t>
            </w:r>
            <w:proofErr w:type="spellEnd"/>
            <w:r>
              <w:rPr>
                <w:lang w:val="fr-FR"/>
              </w:rPr>
              <w:t>)</w:t>
            </w:r>
          </w:p>
        </w:tc>
        <w:tc>
          <w:tcPr>
            <w:tcW w:w="3531" w:type="dxa"/>
          </w:tcPr>
          <w:p w14:paraId="456412B6" w14:textId="52867B67" w:rsidR="002A48D2" w:rsidRPr="002A48D2" w:rsidRDefault="002A48D2" w:rsidP="008F2143">
            <w:pPr>
              <w:pStyle w:val="TableDataUnpadded"/>
            </w:pPr>
            <w:proofErr w:type="spellStart"/>
            <w:proofErr w:type="gramStart"/>
            <w:r w:rsidRPr="00D976C1">
              <w:rPr>
                <w:lang w:val="fr-FR"/>
              </w:rPr>
              <w:t>ondansetron</w:t>
            </w:r>
            <w:proofErr w:type="spellEnd"/>
            <w:proofErr w:type="gramEnd"/>
            <w:r w:rsidRPr="00D976C1">
              <w:rPr>
                <w:lang w:val="fr-FR"/>
              </w:rPr>
              <w:t xml:space="preserve"> </w:t>
            </w:r>
            <w:proofErr w:type="spellStart"/>
            <w:r w:rsidRPr="00D976C1">
              <w:rPr>
                <w:lang w:val="fr-FR"/>
              </w:rPr>
              <w:t>hydrochloride</w:t>
            </w:r>
            <w:proofErr w:type="spellEnd"/>
          </w:p>
        </w:tc>
        <w:tc>
          <w:tcPr>
            <w:tcW w:w="3707" w:type="dxa"/>
          </w:tcPr>
          <w:p w14:paraId="2B2EAE3B" w14:textId="61137748" w:rsidR="002A48D2" w:rsidRPr="002A48D2" w:rsidRDefault="002A48D2" w:rsidP="008F2143">
            <w:pPr>
              <w:pStyle w:val="TableDataUnpadded"/>
              <w:rPr>
                <w:szCs w:val="24"/>
              </w:rPr>
            </w:pPr>
            <w:proofErr w:type="spellStart"/>
            <w:proofErr w:type="gramStart"/>
            <w:r w:rsidRPr="00D976C1">
              <w:rPr>
                <w:lang w:val="fr-FR"/>
              </w:rPr>
              <w:t>tablet</w:t>
            </w:r>
            <w:proofErr w:type="spellEnd"/>
            <w:proofErr w:type="gramEnd"/>
            <w:r w:rsidRPr="00D976C1">
              <w:rPr>
                <w:lang w:val="fr-FR"/>
              </w:rPr>
              <w:t>, oral solution, injection</w:t>
            </w:r>
          </w:p>
        </w:tc>
      </w:tr>
      <w:tr w:rsidR="002A48D2" w:rsidRPr="002A48D2" w14:paraId="74AA1E7C" w14:textId="77777777" w:rsidTr="008F2143">
        <w:trPr>
          <w:cantSplit/>
        </w:trPr>
        <w:tc>
          <w:tcPr>
            <w:tcW w:w="3532" w:type="dxa"/>
          </w:tcPr>
          <w:p w14:paraId="556A7301" w14:textId="16BA8FF1" w:rsidR="002A48D2" w:rsidRPr="002A48D2" w:rsidRDefault="002A48D2" w:rsidP="008F2143">
            <w:pPr>
              <w:pStyle w:val="TableDataUnpadded"/>
            </w:pPr>
            <w:r>
              <w:t>P</w:t>
            </w:r>
            <w:r w:rsidRPr="00D976C1">
              <w:t xml:space="preserve">alonosetron </w:t>
            </w:r>
            <w:r>
              <w:t>H</w:t>
            </w:r>
            <w:r w:rsidRPr="00D976C1">
              <w:t>ydrochloride</w:t>
            </w:r>
            <w:r>
              <w:t xml:space="preserve"> </w:t>
            </w:r>
          </w:p>
        </w:tc>
        <w:tc>
          <w:tcPr>
            <w:tcW w:w="3531" w:type="dxa"/>
          </w:tcPr>
          <w:p w14:paraId="6FCAD0F1" w14:textId="15E60D8D" w:rsidR="002A48D2" w:rsidRPr="002A48D2" w:rsidRDefault="002A48D2" w:rsidP="008F2143">
            <w:pPr>
              <w:pStyle w:val="TableDataUnpadded"/>
            </w:pPr>
            <w:r w:rsidRPr="00D976C1">
              <w:t>palonosetron hydrochloride</w:t>
            </w:r>
          </w:p>
        </w:tc>
        <w:tc>
          <w:tcPr>
            <w:tcW w:w="3707" w:type="dxa"/>
          </w:tcPr>
          <w:p w14:paraId="52BE96C0" w14:textId="39CC6190" w:rsidR="002A48D2" w:rsidRPr="002A48D2" w:rsidRDefault="002A48D2" w:rsidP="008F2143">
            <w:pPr>
              <w:pStyle w:val="TableDataUnpadded"/>
              <w:rPr>
                <w:szCs w:val="24"/>
              </w:rPr>
            </w:pPr>
            <w:r>
              <w:rPr>
                <w:szCs w:val="24"/>
              </w:rPr>
              <w:t>all</w:t>
            </w:r>
          </w:p>
        </w:tc>
      </w:tr>
      <w:tr w:rsidR="002A48D2" w:rsidRPr="002A48D2" w14:paraId="3DC1AE7E" w14:textId="77777777" w:rsidTr="008F2143">
        <w:trPr>
          <w:cantSplit/>
        </w:trPr>
        <w:tc>
          <w:tcPr>
            <w:tcW w:w="3532" w:type="dxa"/>
          </w:tcPr>
          <w:p w14:paraId="75966C06" w14:textId="4A4FE4B9" w:rsidR="002A48D2" w:rsidRDefault="002A48D2" w:rsidP="008F2143">
            <w:pPr>
              <w:pStyle w:val="TableDataUnpadded"/>
            </w:pPr>
            <w:r w:rsidRPr="00D976C1">
              <w:t>palonosetron hydrochloride</w:t>
            </w:r>
            <w:r>
              <w:t xml:space="preserve"> </w:t>
            </w:r>
            <w:r>
              <w:rPr>
                <w:lang w:val="fr-FR"/>
              </w:rPr>
              <w:t xml:space="preserve">(brand </w:t>
            </w:r>
            <w:proofErr w:type="spellStart"/>
            <w:r>
              <w:rPr>
                <w:lang w:val="fr-FR"/>
              </w:rPr>
              <w:t>unavailable</w:t>
            </w:r>
            <w:proofErr w:type="spellEnd"/>
            <w:r>
              <w:rPr>
                <w:lang w:val="fr-FR"/>
              </w:rPr>
              <w:t>)</w:t>
            </w:r>
          </w:p>
        </w:tc>
        <w:tc>
          <w:tcPr>
            <w:tcW w:w="3531" w:type="dxa"/>
          </w:tcPr>
          <w:p w14:paraId="26BB0BE8" w14:textId="76067BF3" w:rsidR="002A48D2" w:rsidRPr="00D976C1" w:rsidRDefault="002A48D2" w:rsidP="008F2143">
            <w:pPr>
              <w:pStyle w:val="TableDataUnpadded"/>
            </w:pPr>
            <w:r w:rsidRPr="00D976C1">
              <w:t>palonosetron hydrochloride</w:t>
            </w:r>
          </w:p>
        </w:tc>
        <w:tc>
          <w:tcPr>
            <w:tcW w:w="3707" w:type="dxa"/>
          </w:tcPr>
          <w:p w14:paraId="70C48225" w14:textId="71CE04F2" w:rsidR="002A48D2" w:rsidRDefault="002A48D2" w:rsidP="008F2143">
            <w:pPr>
              <w:pStyle w:val="TableDataUnpadded"/>
              <w:rPr>
                <w:szCs w:val="24"/>
              </w:rPr>
            </w:pPr>
            <w:r>
              <w:rPr>
                <w:szCs w:val="24"/>
              </w:rPr>
              <w:t>all</w:t>
            </w:r>
          </w:p>
        </w:tc>
      </w:tr>
      <w:tr w:rsidR="002A48D2" w:rsidRPr="002A48D2" w14:paraId="26E927A1" w14:textId="77777777" w:rsidTr="008F2143">
        <w:trPr>
          <w:cantSplit/>
        </w:trPr>
        <w:tc>
          <w:tcPr>
            <w:tcW w:w="3532" w:type="dxa"/>
          </w:tcPr>
          <w:p w14:paraId="4423D01B" w14:textId="59A20B40" w:rsidR="002A48D2" w:rsidRPr="00D976C1" w:rsidRDefault="002A48D2" w:rsidP="008F2143">
            <w:pPr>
              <w:pStyle w:val="TableDataUnpadded"/>
            </w:pPr>
            <w:proofErr w:type="spellStart"/>
            <w:r>
              <w:t>Posfrea</w:t>
            </w:r>
            <w:proofErr w:type="spellEnd"/>
          </w:p>
        </w:tc>
        <w:tc>
          <w:tcPr>
            <w:tcW w:w="3531" w:type="dxa"/>
          </w:tcPr>
          <w:p w14:paraId="2CF36B16" w14:textId="38968632" w:rsidR="002A48D2" w:rsidRPr="00D976C1" w:rsidRDefault="002A48D2" w:rsidP="008F2143">
            <w:pPr>
              <w:pStyle w:val="TableDataUnpadded"/>
            </w:pPr>
            <w:r w:rsidRPr="00D976C1">
              <w:t>palonosetron hydrochloride</w:t>
            </w:r>
          </w:p>
        </w:tc>
        <w:tc>
          <w:tcPr>
            <w:tcW w:w="3707" w:type="dxa"/>
          </w:tcPr>
          <w:p w14:paraId="115FE537" w14:textId="01A6EDE1" w:rsidR="002A48D2" w:rsidRDefault="002A48D2" w:rsidP="008F2143">
            <w:pPr>
              <w:pStyle w:val="TableDataUnpadded"/>
              <w:rPr>
                <w:szCs w:val="24"/>
              </w:rPr>
            </w:pPr>
            <w:r>
              <w:rPr>
                <w:szCs w:val="24"/>
              </w:rPr>
              <w:t>all</w:t>
            </w:r>
          </w:p>
        </w:tc>
      </w:tr>
      <w:tr w:rsidR="002A48D2" w:rsidRPr="002A48D2" w14:paraId="4AA8DF71" w14:textId="77777777" w:rsidTr="008F2143">
        <w:trPr>
          <w:cantSplit/>
        </w:trPr>
        <w:tc>
          <w:tcPr>
            <w:tcW w:w="3532" w:type="dxa"/>
          </w:tcPr>
          <w:p w14:paraId="312943A7" w14:textId="4B90DAA6" w:rsidR="002A48D2" w:rsidRDefault="002A48D2" w:rsidP="008F2143">
            <w:pPr>
              <w:pStyle w:val="TableDataUnpadded"/>
            </w:pPr>
            <w:r w:rsidRPr="00D976C1">
              <w:t>Sancuso</w:t>
            </w:r>
          </w:p>
        </w:tc>
        <w:tc>
          <w:tcPr>
            <w:tcW w:w="3531" w:type="dxa"/>
          </w:tcPr>
          <w:p w14:paraId="1715351D" w14:textId="0F210207" w:rsidR="002A48D2" w:rsidRPr="00D976C1" w:rsidRDefault="002A48D2" w:rsidP="008F2143">
            <w:pPr>
              <w:pStyle w:val="TableDataUnpadded"/>
            </w:pPr>
            <w:r w:rsidRPr="00D976C1">
              <w:t>granisetron</w:t>
            </w:r>
          </w:p>
        </w:tc>
        <w:tc>
          <w:tcPr>
            <w:tcW w:w="3707" w:type="dxa"/>
          </w:tcPr>
          <w:p w14:paraId="23A34C0A" w14:textId="0057735B" w:rsidR="002A48D2" w:rsidRDefault="002A48D2" w:rsidP="008F2143">
            <w:pPr>
              <w:pStyle w:val="TableDataUnpadded"/>
              <w:rPr>
                <w:szCs w:val="24"/>
              </w:rPr>
            </w:pPr>
            <w:r>
              <w:rPr>
                <w:szCs w:val="24"/>
              </w:rPr>
              <w:t>transdermal system</w:t>
            </w:r>
          </w:p>
        </w:tc>
      </w:tr>
      <w:tr w:rsidR="002A48D2" w:rsidRPr="002A48D2" w14:paraId="12BF73B6" w14:textId="77777777" w:rsidTr="008F2143">
        <w:trPr>
          <w:cantSplit/>
        </w:trPr>
        <w:tc>
          <w:tcPr>
            <w:tcW w:w="3532" w:type="dxa"/>
          </w:tcPr>
          <w:p w14:paraId="0933F730" w14:textId="55C6DAF7" w:rsidR="002A48D2" w:rsidRPr="00D976C1" w:rsidRDefault="002A48D2" w:rsidP="008F2143">
            <w:pPr>
              <w:pStyle w:val="TableDataUnpadded"/>
            </w:pPr>
            <w:proofErr w:type="spellStart"/>
            <w:r w:rsidRPr="00D976C1">
              <w:t>Susto</w:t>
            </w:r>
            <w:r>
              <w:t>l</w:t>
            </w:r>
            <w:proofErr w:type="spellEnd"/>
          </w:p>
        </w:tc>
        <w:tc>
          <w:tcPr>
            <w:tcW w:w="3531" w:type="dxa"/>
          </w:tcPr>
          <w:p w14:paraId="299E9FD7" w14:textId="48CB2B5E" w:rsidR="002A48D2" w:rsidRPr="00D976C1" w:rsidRDefault="002A48D2" w:rsidP="008F2143">
            <w:pPr>
              <w:pStyle w:val="TableDataUnpadded"/>
            </w:pPr>
            <w:r w:rsidRPr="00D976C1">
              <w:t>granisetron extended-release</w:t>
            </w:r>
          </w:p>
        </w:tc>
        <w:tc>
          <w:tcPr>
            <w:tcW w:w="3707" w:type="dxa"/>
          </w:tcPr>
          <w:p w14:paraId="4566C5CF" w14:textId="354B95BB" w:rsidR="002A48D2" w:rsidRDefault="002A48D2" w:rsidP="008F2143">
            <w:pPr>
              <w:pStyle w:val="TableDataUnpadded"/>
              <w:rPr>
                <w:szCs w:val="24"/>
              </w:rPr>
            </w:pPr>
            <w:r>
              <w:rPr>
                <w:szCs w:val="24"/>
              </w:rPr>
              <w:t>injection</w:t>
            </w:r>
          </w:p>
        </w:tc>
      </w:tr>
    </w:tbl>
    <w:bookmarkEnd w:id="0"/>
    <w:p w14:paraId="24A899CC" w14:textId="56EA7296" w:rsidR="00FC1AAD" w:rsidRPr="00D976C1" w:rsidRDefault="002972D2" w:rsidP="00A00E11">
      <w:pPr>
        <w:pStyle w:val="Heading2"/>
        <w:tabs>
          <w:tab w:val="clear" w:pos="2880"/>
          <w:tab w:val="left" w:pos="7636"/>
        </w:tabs>
        <w:rPr>
          <w:sz w:val="22"/>
          <w:szCs w:val="22"/>
        </w:rPr>
      </w:pPr>
      <w:r>
        <w:lastRenderedPageBreak/>
        <w:t>Indications</w:t>
      </w:r>
    </w:p>
    <w:p w14:paraId="7320DF4E" w14:textId="77777777" w:rsidR="00ED052F" w:rsidRPr="00BD1CC1" w:rsidRDefault="00ED052F" w:rsidP="00ED052F">
      <w:pPr>
        <w:pStyle w:val="Heading3"/>
        <w:keepNext w:val="0"/>
      </w:pPr>
      <w:r w:rsidRPr="00BD1CC1">
        <w:t xml:space="preserve">FDA-approved Indications </w:t>
      </w:r>
    </w:p>
    <w:p w14:paraId="4F239604" w14:textId="77777777" w:rsidR="00CC706D" w:rsidRPr="00380B92" w:rsidRDefault="00CC706D" w:rsidP="00F565BE">
      <w:pPr>
        <w:pStyle w:val="Heading4"/>
        <w:rPr>
          <w:b/>
        </w:rPr>
      </w:pPr>
      <w:r w:rsidRPr="00380B92">
        <w:t>Anzemet</w:t>
      </w:r>
      <w:r w:rsidRPr="00380B92">
        <w:rPr>
          <w:b/>
        </w:rPr>
        <w:t xml:space="preserve"> </w:t>
      </w:r>
      <w:r w:rsidRPr="00380B92">
        <w:t>Tablets</w:t>
      </w:r>
    </w:p>
    <w:p w14:paraId="233EF9D6" w14:textId="77777777" w:rsidR="008A1DCF" w:rsidRDefault="00CC706D" w:rsidP="00CC706D">
      <w:pPr>
        <w:pStyle w:val="BodyText"/>
      </w:pPr>
      <w:r w:rsidRPr="00CC706D">
        <w:t>Anzemet tablets are indicated for the prevention of nausea and vomiting associated with moderately emetogenic cancer chemotherapy, including initial and repeat courses in adults and children 2 years and older</w:t>
      </w:r>
      <w:r w:rsidR="00E70DAB">
        <w:t>.</w:t>
      </w:r>
    </w:p>
    <w:p w14:paraId="42034D2D" w14:textId="77777777" w:rsidR="00CC706D" w:rsidRPr="00380B92" w:rsidRDefault="00CC706D" w:rsidP="004F0A7C">
      <w:pPr>
        <w:pStyle w:val="Heading4"/>
      </w:pPr>
      <w:r w:rsidRPr="00380B92">
        <w:t>Granisetron Hydrochloride</w:t>
      </w:r>
    </w:p>
    <w:p w14:paraId="13B4874D" w14:textId="77777777" w:rsidR="00CC706D" w:rsidRPr="00B45A1F" w:rsidRDefault="00CC706D" w:rsidP="00F968CF">
      <w:pPr>
        <w:pStyle w:val="Heading5"/>
      </w:pPr>
      <w:r w:rsidRPr="00B45A1F">
        <w:t>Granisetron Hydrochloride Tablets</w:t>
      </w:r>
    </w:p>
    <w:p w14:paraId="0FB7412F" w14:textId="77777777" w:rsidR="00CC706D" w:rsidRPr="00DF59A4" w:rsidRDefault="00CC706D" w:rsidP="002972D2">
      <w:pPr>
        <w:pStyle w:val="BodyText"/>
        <w:spacing w:after="0"/>
      </w:pPr>
      <w:r>
        <w:t>Granisetron hydrochloride tablets USP are indicated for the prevention of:</w:t>
      </w:r>
    </w:p>
    <w:p w14:paraId="044C61FF" w14:textId="77777777" w:rsidR="00CC706D" w:rsidRDefault="00CC706D" w:rsidP="00BF0BC8">
      <w:pPr>
        <w:pStyle w:val="ListParagraph"/>
      </w:pPr>
      <w:r>
        <w:t>Nausea and vomiting associated with initial and repeat courses of emetogenic cancer therapy, including high-dose cisplatin.</w:t>
      </w:r>
    </w:p>
    <w:p w14:paraId="015836C7" w14:textId="77777777" w:rsidR="00CC706D" w:rsidRDefault="00CC706D" w:rsidP="00BF0BC8">
      <w:pPr>
        <w:pStyle w:val="ListParagraph"/>
      </w:pPr>
      <w:r>
        <w:t>Nausea and vomiting associated with radiation, including total body irradiation and fractionated abdominal radiation</w:t>
      </w:r>
      <w:r w:rsidR="003E1B70">
        <w:t>.</w:t>
      </w:r>
    </w:p>
    <w:p w14:paraId="303A1A2E" w14:textId="77777777" w:rsidR="00CC706D" w:rsidRPr="00B45A1F" w:rsidRDefault="00CC706D" w:rsidP="00804957">
      <w:pPr>
        <w:pStyle w:val="Heading5"/>
      </w:pPr>
      <w:r w:rsidRPr="00B45A1F">
        <w:t>Granisetron</w:t>
      </w:r>
      <w:r w:rsidRPr="00541D98">
        <w:t xml:space="preserve"> </w:t>
      </w:r>
      <w:r w:rsidRPr="00B45A1F">
        <w:t>Hydrochloride Injection:</w:t>
      </w:r>
    </w:p>
    <w:p w14:paraId="400B1ECB" w14:textId="77777777" w:rsidR="00CC706D" w:rsidRPr="00DF59A4" w:rsidRDefault="00CC706D" w:rsidP="00BF0BC8">
      <w:pPr>
        <w:pStyle w:val="BodyText"/>
      </w:pPr>
      <w:r>
        <w:t>Granisetron hydrochloride injection, USP is a serotonin-3 (5-HT3) receptor antagonist indicated for:</w:t>
      </w:r>
    </w:p>
    <w:p w14:paraId="05A92D0D" w14:textId="77777777" w:rsidR="00CC706D" w:rsidRPr="00E37DC9" w:rsidRDefault="00CC706D" w:rsidP="00E37DC9">
      <w:pPr>
        <w:pStyle w:val="ListParagraph"/>
      </w:pPr>
      <w:r w:rsidRPr="00E37DC9">
        <w:t>The prevention of nausea and/or vomiting associated with initial and repeat courses of emetogenic cancer therapy, including high-dose cisplatin.</w:t>
      </w:r>
    </w:p>
    <w:p w14:paraId="4631F8AE" w14:textId="77777777" w:rsidR="009F1F96" w:rsidRPr="00E37DC9" w:rsidRDefault="00CC706D" w:rsidP="00E37DC9">
      <w:pPr>
        <w:pStyle w:val="ListParagraph"/>
      </w:pPr>
      <w:r w:rsidRPr="00E37DC9">
        <w:t>The prevention and treatment of postoperative nausea and vomiting in adults. As with other antiemetics, routine prophylaxis is not recommended in patients in whom there is little expectation that nausea and/or vomiting will occur postoperatively. In patients where nausea and/or vomiting must be avoided during the postoperative period, granisetron hydrochloride injection USP is recommended even where the incidence of postoperative nausea and/or vomiting is low.</w:t>
      </w:r>
    </w:p>
    <w:p w14:paraId="061E0474" w14:textId="77777777" w:rsidR="00CC706D" w:rsidRPr="00380B92" w:rsidRDefault="00CC706D" w:rsidP="007B2601">
      <w:pPr>
        <w:pStyle w:val="Heading4"/>
        <w:spacing w:after="60"/>
      </w:pPr>
      <w:r w:rsidRPr="00380B92">
        <w:t>Ondansetron Injection</w:t>
      </w:r>
    </w:p>
    <w:p w14:paraId="489D966E" w14:textId="77777777" w:rsidR="00CC706D" w:rsidRPr="00B45A1F" w:rsidRDefault="00CC706D" w:rsidP="00F968CF">
      <w:pPr>
        <w:pStyle w:val="Heading5"/>
      </w:pPr>
      <w:r w:rsidRPr="00B45A1F">
        <w:t xml:space="preserve">Prevention of Nausea and Vomiting Associated with Initial and Repeat Courses of Emetogenic Cancer Chemotherapy </w:t>
      </w:r>
    </w:p>
    <w:p w14:paraId="60A0CDF4" w14:textId="46F54A3F" w:rsidR="00CC706D" w:rsidRPr="00DF59A4" w:rsidRDefault="00CC706D" w:rsidP="008E1A98">
      <w:pPr>
        <w:tabs>
          <w:tab w:val="left" w:pos="1080"/>
          <w:tab w:val="left" w:pos="1440"/>
          <w:tab w:val="left" w:pos="1800"/>
        </w:tabs>
        <w:spacing w:after="60"/>
      </w:pPr>
      <w:r w:rsidRPr="004F733C">
        <w:t xml:space="preserve">Ondansetron </w:t>
      </w:r>
      <w:r>
        <w:t xml:space="preserve">injection is indicated for the prevention of nausea and vomiting associated with initial and repeat courses of emetogenic cancer chemotherapy, including high-dose cisplatin. </w:t>
      </w:r>
      <w:r w:rsidRPr="004F733C">
        <w:t>Ondansetron</w:t>
      </w:r>
      <w:r>
        <w:t xml:space="preserve"> injection</w:t>
      </w:r>
      <w:r w:rsidRPr="004F733C">
        <w:t xml:space="preserve"> </w:t>
      </w:r>
      <w:r>
        <w:t>is approved for patients aged 6 months and older.</w:t>
      </w:r>
    </w:p>
    <w:p w14:paraId="1409FB3C" w14:textId="77777777" w:rsidR="00CC706D" w:rsidRPr="00B45A1F" w:rsidRDefault="00CC706D" w:rsidP="00F968CF">
      <w:pPr>
        <w:pStyle w:val="Heading5"/>
      </w:pPr>
      <w:r w:rsidRPr="00B45A1F">
        <w:t xml:space="preserve">Prevention of Postoperative Nausea and/or Vomiting </w:t>
      </w:r>
    </w:p>
    <w:p w14:paraId="5DF7EE5C" w14:textId="77777777" w:rsidR="00CC706D" w:rsidRDefault="00CC706D" w:rsidP="008E1A98">
      <w:pPr>
        <w:tabs>
          <w:tab w:val="left" w:pos="1080"/>
          <w:tab w:val="left" w:pos="1440"/>
          <w:tab w:val="left" w:pos="1800"/>
        </w:tabs>
        <w:spacing w:after="120"/>
      </w:pPr>
      <w:r w:rsidRPr="004F733C">
        <w:t xml:space="preserve">Ondansetron </w:t>
      </w:r>
      <w:r>
        <w:t>injection is indicated for the prevention of postoperative nausea and/or vomiting. As with other antiemetics, routine prophylaxis is not recommended for patients in whom there is little expectation that nausea and/or vomiting will occur postoperatively. In patients in whom nausea and/or vomiting must be avoided postoperatively, o</w:t>
      </w:r>
      <w:r w:rsidRPr="004F733C">
        <w:t xml:space="preserve">ndansetron </w:t>
      </w:r>
      <w:r>
        <w:t>injection is recommended even when the incidence of postoperative nausea and/or vomiting is low. For patients who do not receive prophylactic o</w:t>
      </w:r>
      <w:r w:rsidRPr="004F733C">
        <w:t xml:space="preserve">ndansetron </w:t>
      </w:r>
      <w:r>
        <w:t>injection and experience nausea and/or vomiting postoperatively, o</w:t>
      </w:r>
      <w:r w:rsidRPr="004F733C">
        <w:t xml:space="preserve">ndansetron </w:t>
      </w:r>
      <w:r>
        <w:t xml:space="preserve">injection may be given to prevent further episodes. </w:t>
      </w:r>
      <w:r w:rsidRPr="004F733C">
        <w:t>Ondansetron</w:t>
      </w:r>
      <w:r>
        <w:t xml:space="preserve"> injection</w:t>
      </w:r>
      <w:r w:rsidRPr="004F733C">
        <w:t xml:space="preserve"> </w:t>
      </w:r>
      <w:r>
        <w:t xml:space="preserve">is approved for patients aged 1 month and older. </w:t>
      </w:r>
    </w:p>
    <w:p w14:paraId="0B8016CB" w14:textId="77777777" w:rsidR="00380B92" w:rsidRDefault="00380B92" w:rsidP="00380B92">
      <w:pPr>
        <w:pStyle w:val="Heading4"/>
        <w:rPr>
          <w:i/>
        </w:rPr>
      </w:pPr>
      <w:r>
        <w:lastRenderedPageBreak/>
        <w:t xml:space="preserve">Ondansetron Tablets, ODT, and Oral Solution </w:t>
      </w:r>
    </w:p>
    <w:p w14:paraId="4BF71547" w14:textId="77777777" w:rsidR="00380B92" w:rsidRDefault="00380B92" w:rsidP="00380B92">
      <w:pPr>
        <w:rPr>
          <w:rFonts w:cs="Arial"/>
        </w:rPr>
      </w:pPr>
      <w:r>
        <w:rPr>
          <w:rFonts w:cs="Arial"/>
        </w:rPr>
        <w:t>Ondansetron tablets, orally disintegrating tablets, and oral solution are indicated for the prevention of nausea and vomiting associated with:</w:t>
      </w:r>
    </w:p>
    <w:p w14:paraId="60F83316" w14:textId="35E0F4D0" w:rsidR="00380B92" w:rsidRPr="00CB5614" w:rsidRDefault="00380B92" w:rsidP="00E37DC9">
      <w:pPr>
        <w:pStyle w:val="ListParagraph"/>
      </w:pPr>
      <w:r w:rsidRPr="00CB5614">
        <w:t>highly emetogenic cancer chemotherapy, including cisplatin greater than or equal to 50 mg/m</w:t>
      </w:r>
      <w:r w:rsidRPr="00CB5614">
        <w:rPr>
          <w:vertAlign w:val="superscript"/>
        </w:rPr>
        <w:t>2</w:t>
      </w:r>
      <w:r w:rsidR="00464DEE">
        <w:t>.</w:t>
      </w:r>
    </w:p>
    <w:p w14:paraId="2CCCBB38" w14:textId="01BD7FD2" w:rsidR="00380B92" w:rsidRDefault="00380B92" w:rsidP="00E37DC9">
      <w:pPr>
        <w:pStyle w:val="ListParagraph"/>
      </w:pPr>
      <w:r>
        <w:t>initial and repeat courses of moderately emetogenic cancer chemotherapy</w:t>
      </w:r>
      <w:r w:rsidR="00464DEE">
        <w:t>.</w:t>
      </w:r>
    </w:p>
    <w:p w14:paraId="45372038" w14:textId="35EDB2BC" w:rsidR="00380B92" w:rsidRPr="009844EF" w:rsidRDefault="00380B92" w:rsidP="00E37DC9">
      <w:pPr>
        <w:pStyle w:val="ListParagraph"/>
        <w:rPr>
          <w:caps/>
        </w:rPr>
      </w:pPr>
      <w:r>
        <w:t>radiotherapy in patients receiving either total body irradiation, single high-dose fraction to the abdomen, or daily fractions to the abdomen</w:t>
      </w:r>
      <w:r w:rsidR="00464DEE">
        <w:t>.</w:t>
      </w:r>
    </w:p>
    <w:p w14:paraId="6EDBEC1E" w14:textId="77777777" w:rsidR="00D84B3F" w:rsidRDefault="00380B92" w:rsidP="00E37DC9">
      <w:pPr>
        <w:pStyle w:val="BodyText"/>
      </w:pPr>
      <w:r>
        <w:t xml:space="preserve">Ondansetron tablets, orally disintegrating tablets, and oral solution are also indicated for the prevention of postoperative nausea and/or vomiting. </w:t>
      </w:r>
    </w:p>
    <w:p w14:paraId="05FE2AB2" w14:textId="77777777" w:rsidR="00380B92" w:rsidRPr="00380B92" w:rsidRDefault="00380B92" w:rsidP="00D84B3F">
      <w:pPr>
        <w:pStyle w:val="Heading4"/>
        <w:keepLines w:val="0"/>
      </w:pPr>
      <w:r w:rsidRPr="00380B92">
        <w:t>Palonosetron Hydrochloride Injection 2</w:t>
      </w:r>
      <w:r w:rsidR="00DC5DD6">
        <w:t xml:space="preserve"> </w:t>
      </w:r>
      <w:r w:rsidRPr="00380B92">
        <w:t>mL single-dose vial</w:t>
      </w:r>
    </w:p>
    <w:p w14:paraId="02B8A272" w14:textId="77777777" w:rsidR="00380B92" w:rsidRDefault="00380B92" w:rsidP="00380B92">
      <w:pPr>
        <w:tabs>
          <w:tab w:val="left" w:pos="2880"/>
        </w:tabs>
        <w:ind w:left="2880" w:hanging="2880"/>
        <w:rPr>
          <w:bCs/>
        </w:rPr>
      </w:pPr>
      <w:r>
        <w:rPr>
          <w:bCs/>
        </w:rPr>
        <w:t>Palonosetron hydrochloride (HCl) injection is indicated for:</w:t>
      </w:r>
    </w:p>
    <w:p w14:paraId="003C903D" w14:textId="7B3AC96B" w:rsidR="00380B92" w:rsidRPr="00CB5614" w:rsidRDefault="00380B92" w:rsidP="00CB5614">
      <w:pPr>
        <w:pStyle w:val="ListParagraph"/>
        <w:numPr>
          <w:ilvl w:val="0"/>
          <w:numId w:val="43"/>
        </w:numPr>
        <w:tabs>
          <w:tab w:val="left" w:pos="2880"/>
        </w:tabs>
        <w:ind w:left="720"/>
        <w:rPr>
          <w:bCs/>
        </w:rPr>
      </w:pPr>
      <w:r w:rsidRPr="00CB5614">
        <w:rPr>
          <w:bCs/>
        </w:rPr>
        <w:t>Moderately emetogenic cancer chemotherapy - prevention of acute and delayed nausea and vomiting associated with initial and repeat courses</w:t>
      </w:r>
      <w:r w:rsidR="00464DEE">
        <w:rPr>
          <w:bCs/>
        </w:rPr>
        <w:t>.</w:t>
      </w:r>
    </w:p>
    <w:p w14:paraId="2E7616B5" w14:textId="1A3CFEEB" w:rsidR="00380B92" w:rsidRPr="00E37DC9" w:rsidRDefault="00380B92" w:rsidP="00E37DC9">
      <w:pPr>
        <w:pStyle w:val="ListParagraph"/>
      </w:pPr>
      <w:r w:rsidRPr="00E37DC9">
        <w:t>Highly emetogenic cancer chemotherapy - prevention of acute nausea and vomiting associated with initial and repeat courses</w:t>
      </w:r>
      <w:r w:rsidR="00464DEE">
        <w:t>.</w:t>
      </w:r>
    </w:p>
    <w:p w14:paraId="0351DE1E" w14:textId="77777777" w:rsidR="00380B92" w:rsidRPr="00380B92" w:rsidRDefault="00380B92" w:rsidP="008E1A98">
      <w:pPr>
        <w:pStyle w:val="Heading4"/>
        <w:rPr>
          <w:bCs/>
          <w:caps/>
        </w:rPr>
      </w:pPr>
      <w:r w:rsidRPr="008E1A98">
        <w:t>Palonosetron</w:t>
      </w:r>
      <w:r w:rsidRPr="00380B92">
        <w:rPr>
          <w:bCs/>
        </w:rPr>
        <w:t xml:space="preserve"> Hydrochloride Injection 5 mL single-dose vial</w:t>
      </w:r>
    </w:p>
    <w:p w14:paraId="76C2C93C" w14:textId="77777777" w:rsidR="00380B92" w:rsidRDefault="00380B92" w:rsidP="00A00E11">
      <w:pPr>
        <w:pStyle w:val="BodyText"/>
      </w:pPr>
      <w:r>
        <w:rPr>
          <w:bCs/>
        </w:rPr>
        <w:t>Palonosetron hydrochloride</w:t>
      </w:r>
      <w:r>
        <w:rPr>
          <w:b/>
        </w:rPr>
        <w:t xml:space="preserve"> </w:t>
      </w:r>
      <w:r>
        <w:t>injection is indicated in adults for prevention of:</w:t>
      </w:r>
    </w:p>
    <w:p w14:paraId="3A9FD96A" w14:textId="50FB0A3F" w:rsidR="00380B92" w:rsidRDefault="00380B92" w:rsidP="008417EA">
      <w:pPr>
        <w:pStyle w:val="ListParagraph"/>
      </w:pPr>
      <w:r>
        <w:t>acute and delayed nausea and vomiting associated with initial and repeat courses of moderately</w:t>
      </w:r>
      <w:r w:rsidR="008417EA">
        <w:t xml:space="preserve"> </w:t>
      </w:r>
      <w:r>
        <w:t>emetogenic cancer chemotherapy (MEC).</w:t>
      </w:r>
    </w:p>
    <w:p w14:paraId="216484B0" w14:textId="77777777" w:rsidR="00380B92" w:rsidRPr="008E1A98" w:rsidRDefault="00380B92" w:rsidP="00A00E11">
      <w:pPr>
        <w:pStyle w:val="ListParagraph"/>
      </w:pPr>
      <w:r>
        <w:t>acute nausea and vomiting associated with initial and repeat courses of highly emetogenic cancer</w:t>
      </w:r>
      <w:r w:rsidR="008E1A98">
        <w:t xml:space="preserve"> </w:t>
      </w:r>
      <w:r w:rsidRPr="008E1A98">
        <w:t>chemotherapy (HEC).</w:t>
      </w:r>
    </w:p>
    <w:p w14:paraId="28430ADD" w14:textId="77777777" w:rsidR="00380B92" w:rsidRPr="008E1A98" w:rsidRDefault="00380B92" w:rsidP="00A00E11">
      <w:pPr>
        <w:pStyle w:val="ListParagraph"/>
      </w:pPr>
      <w:r>
        <w:t>postoperative nausea and vomiting (PONV) for up to 24 hours following surgery. Efficacy beyond</w:t>
      </w:r>
      <w:r w:rsidR="008E1A98">
        <w:t xml:space="preserve"> </w:t>
      </w:r>
      <w:r w:rsidRPr="008E1A98">
        <w:t>24 hours has not been demonstrated.</w:t>
      </w:r>
    </w:p>
    <w:p w14:paraId="2F04793B" w14:textId="77777777" w:rsidR="00380B92" w:rsidRDefault="00380B92" w:rsidP="00142DE9">
      <w:pPr>
        <w:pStyle w:val="BodyText"/>
      </w:pPr>
      <w:r>
        <w:t>As with other antiemetics, routine prophylaxis is not recommended in patients in whom there is little</w:t>
      </w:r>
      <w:r w:rsidR="008E1A98">
        <w:t xml:space="preserve"> </w:t>
      </w:r>
      <w:r>
        <w:t>expectation that nausea and/or vomiting will occur postoperatively. In patients where nausea and vomiting must be avoided during the postoperative period, palonosetron hydrochloride</w:t>
      </w:r>
      <w:r>
        <w:rPr>
          <w:b/>
        </w:rPr>
        <w:t xml:space="preserve"> </w:t>
      </w:r>
      <w:r>
        <w:t>is recommended even where the incidence of postoperative nausea and/or vomiting is low.</w:t>
      </w:r>
    </w:p>
    <w:p w14:paraId="59ABA812" w14:textId="77777777" w:rsidR="00380B92" w:rsidRDefault="00380B92" w:rsidP="00BF0BC8">
      <w:pPr>
        <w:pStyle w:val="BodyText"/>
      </w:pPr>
      <w:r>
        <w:t>Palonosetron hydrochloride injection is indicated in pediatric patients 1 months to less than 17 years of age for prevention of:</w:t>
      </w:r>
    </w:p>
    <w:p w14:paraId="295B9A00" w14:textId="77777777" w:rsidR="00380B92" w:rsidRDefault="00380B92" w:rsidP="00CB5614">
      <w:pPr>
        <w:pStyle w:val="ListParagraph"/>
        <w:numPr>
          <w:ilvl w:val="0"/>
          <w:numId w:val="32"/>
        </w:numPr>
        <w:tabs>
          <w:tab w:val="left" w:pos="2880"/>
        </w:tabs>
        <w:spacing w:after="120"/>
        <w:ind w:right="0"/>
        <w:textAlignment w:val="auto"/>
      </w:pPr>
      <w:r>
        <w:t>acute nausea and vomiting associated with initial and repeat courses of emetogenic cancer chemotherapy, including highly emetogenic cancer chemotherapy.</w:t>
      </w:r>
    </w:p>
    <w:p w14:paraId="3A2FB536" w14:textId="77777777" w:rsidR="00751938" w:rsidRDefault="00751938" w:rsidP="00751938">
      <w:pPr>
        <w:pStyle w:val="Heading4"/>
      </w:pPr>
      <w:r>
        <w:t>Posfrea</w:t>
      </w:r>
    </w:p>
    <w:p w14:paraId="484A5978" w14:textId="40A0DEF3" w:rsidR="00EF190D" w:rsidRDefault="008E1FB5" w:rsidP="00EF190D">
      <w:pPr>
        <w:pStyle w:val="BodyText"/>
      </w:pPr>
      <w:proofErr w:type="spellStart"/>
      <w:r>
        <w:rPr>
          <w:bCs/>
        </w:rPr>
        <w:t>Posfrea</w:t>
      </w:r>
      <w:proofErr w:type="spellEnd"/>
      <w:r w:rsidR="00EF190D">
        <w:t xml:space="preserve"> is indicated in adults for prevention of:</w:t>
      </w:r>
    </w:p>
    <w:p w14:paraId="67572C27" w14:textId="77777777" w:rsidR="00EF190D" w:rsidRDefault="00EF190D" w:rsidP="00EF190D">
      <w:pPr>
        <w:pStyle w:val="ListParagraph"/>
      </w:pPr>
      <w:r>
        <w:t>acute and delayed nausea and vomiting associated with initial and repeat courses of moderately emetogenic cancer chemotherapy (MEC).</w:t>
      </w:r>
    </w:p>
    <w:p w14:paraId="1645D306" w14:textId="77777777" w:rsidR="00EF190D" w:rsidRPr="008E1A98" w:rsidRDefault="00EF190D" w:rsidP="00EF190D">
      <w:pPr>
        <w:pStyle w:val="ListParagraph"/>
      </w:pPr>
      <w:r>
        <w:t xml:space="preserve">acute nausea and vomiting associated with initial and repeat courses of highly emetogenic cancer </w:t>
      </w:r>
      <w:r w:rsidRPr="008E1A98">
        <w:t>chemotherapy (HEC).</w:t>
      </w:r>
    </w:p>
    <w:p w14:paraId="0FBD5484" w14:textId="77777777" w:rsidR="00EF190D" w:rsidRPr="008E1A98" w:rsidRDefault="00EF190D" w:rsidP="00EF190D">
      <w:pPr>
        <w:pStyle w:val="ListParagraph"/>
      </w:pPr>
      <w:r>
        <w:lastRenderedPageBreak/>
        <w:t xml:space="preserve">postoperative nausea and vomiting (PONV) for up to 24 hours following surgery. Efficacy beyond </w:t>
      </w:r>
      <w:r w:rsidRPr="008E1A98">
        <w:t>24 hours has not been demonstrated.</w:t>
      </w:r>
    </w:p>
    <w:p w14:paraId="6D5FFC6E" w14:textId="1ABA10A4" w:rsidR="00EF190D" w:rsidRDefault="00EF190D" w:rsidP="00EF190D">
      <w:pPr>
        <w:pStyle w:val="BodyText"/>
      </w:pPr>
      <w:r>
        <w:t xml:space="preserve">As with other antiemetics, routine prophylaxis is not recommended in patients in whom there is little expectation that nausea and/or vomiting will occur postoperatively. In patients where nausea and vomiting must be avoided during the postoperative period, </w:t>
      </w:r>
      <w:proofErr w:type="spellStart"/>
      <w:r w:rsidR="008E1FB5">
        <w:t>Posfrea</w:t>
      </w:r>
      <w:proofErr w:type="spellEnd"/>
      <w:r>
        <w:rPr>
          <w:b/>
        </w:rPr>
        <w:t xml:space="preserve"> </w:t>
      </w:r>
      <w:r>
        <w:t>is recommended even where the incidence of postoperative nausea and/or vomiting is low.</w:t>
      </w:r>
    </w:p>
    <w:p w14:paraId="1663F5CF" w14:textId="65EA11C0" w:rsidR="00EF190D" w:rsidRDefault="00EF190D" w:rsidP="00EF190D">
      <w:pPr>
        <w:pStyle w:val="BodyText"/>
      </w:pPr>
      <w:proofErr w:type="spellStart"/>
      <w:r>
        <w:t>Posfrea</w:t>
      </w:r>
      <w:proofErr w:type="spellEnd"/>
      <w:r>
        <w:t xml:space="preserve"> is indicated in pediatric patients 1 months to less than 17 years of age for prevention of:</w:t>
      </w:r>
    </w:p>
    <w:p w14:paraId="13D9C4C4" w14:textId="77777777" w:rsidR="00EF190D" w:rsidRDefault="00EF190D" w:rsidP="00EF190D">
      <w:pPr>
        <w:pStyle w:val="ListParagraph"/>
        <w:numPr>
          <w:ilvl w:val="0"/>
          <w:numId w:val="32"/>
        </w:numPr>
        <w:tabs>
          <w:tab w:val="left" w:pos="2880"/>
        </w:tabs>
        <w:spacing w:after="120"/>
        <w:ind w:right="0"/>
        <w:textAlignment w:val="auto"/>
      </w:pPr>
      <w:r>
        <w:t>acute nausea and vomiting associated with initial and repeat courses of emetogenic cancer chemotherapy, including highly emetogenic cancer chemotherapy.</w:t>
      </w:r>
    </w:p>
    <w:p w14:paraId="7B69B55D" w14:textId="77777777" w:rsidR="00380B92" w:rsidRPr="00380B92" w:rsidRDefault="00380B92" w:rsidP="00F968CF">
      <w:pPr>
        <w:pStyle w:val="Heading4"/>
        <w:rPr>
          <w:i/>
        </w:rPr>
      </w:pPr>
      <w:r w:rsidRPr="00AC7D09">
        <w:t>Sancuso</w:t>
      </w:r>
      <w:r w:rsidRPr="00380B92">
        <w:t xml:space="preserve"> Transdermal System</w:t>
      </w:r>
    </w:p>
    <w:p w14:paraId="215FA4DA" w14:textId="77777777" w:rsidR="00380B92" w:rsidRDefault="00380B92" w:rsidP="00CB5614">
      <w:pPr>
        <w:pStyle w:val="BodyText"/>
        <w:tabs>
          <w:tab w:val="left" w:pos="720"/>
          <w:tab w:val="left" w:pos="1080"/>
          <w:tab w:val="left" w:pos="1800"/>
          <w:tab w:val="left" w:pos="2520"/>
        </w:tabs>
      </w:pPr>
      <w:r>
        <w:t>Sancuso is indicated for the prevention of nausea and vomiting in adults receiving moderately and/or highly emetogenic chemotherapy regimens of up to 5 consecutive days duration.</w:t>
      </w:r>
    </w:p>
    <w:p w14:paraId="6D44009B" w14:textId="77777777" w:rsidR="00380B92" w:rsidRPr="00380B92" w:rsidRDefault="00380B92" w:rsidP="00F968CF">
      <w:pPr>
        <w:pStyle w:val="Heading4"/>
      </w:pPr>
      <w:r w:rsidRPr="00380B92">
        <w:t>Sustol Extended-Release Injection</w:t>
      </w:r>
    </w:p>
    <w:p w14:paraId="64D82A1A" w14:textId="77777777" w:rsidR="00380B92" w:rsidRDefault="00380B92" w:rsidP="00CB5614">
      <w:pPr>
        <w:keepNext/>
        <w:autoSpaceDE w:val="0"/>
        <w:autoSpaceDN w:val="0"/>
        <w:adjustRightInd w:val="0"/>
        <w:spacing w:after="120"/>
        <w:rPr>
          <w:rFonts w:cs="Arial"/>
        </w:rPr>
      </w:pPr>
      <w:r>
        <w:rPr>
          <w:rFonts w:cs="Arial"/>
        </w:rPr>
        <w:t>Sustol is indicated in combination with other antiemetics in adults for the prevention of acute and delayed nausea and vomiting associated with initial and repeat courses of moderately emetogenic chemotherapy (MEC) or anthracycline and cyclophosphamide (AC) combination chemotherapy regimens.</w:t>
      </w:r>
    </w:p>
    <w:p w14:paraId="5FD278FE" w14:textId="77777777" w:rsidR="009A5649" w:rsidRPr="006801EB" w:rsidRDefault="009A5649" w:rsidP="006801EB">
      <w:pPr>
        <w:pStyle w:val="Heading4"/>
        <w:rPr>
          <w:rStyle w:val="Emphasis"/>
          <w:i w:val="0"/>
          <w:iCs w:val="0"/>
          <w:sz w:val="28"/>
        </w:rPr>
      </w:pPr>
      <w:r w:rsidRPr="006801EB">
        <w:t>Compendial</w:t>
      </w:r>
      <w:r w:rsidRPr="006801EB">
        <w:rPr>
          <w:rStyle w:val="Emphasis"/>
          <w:i w:val="0"/>
          <w:iCs w:val="0"/>
          <w:sz w:val="28"/>
        </w:rPr>
        <w:t xml:space="preserve"> Uses</w:t>
      </w:r>
      <w:r w:rsidR="006801EB" w:rsidRPr="006801EB">
        <w:rPr>
          <w:rStyle w:val="Emphasis"/>
          <w:i w:val="0"/>
          <w:iCs w:val="0"/>
          <w:sz w:val="28"/>
        </w:rPr>
        <w:t>:</w:t>
      </w:r>
    </w:p>
    <w:p w14:paraId="28788317" w14:textId="77777777" w:rsidR="00380B92" w:rsidRDefault="00380B92" w:rsidP="00CB5614">
      <w:pPr>
        <w:numPr>
          <w:ilvl w:val="0"/>
          <w:numId w:val="34"/>
        </w:numPr>
        <w:tabs>
          <w:tab w:val="left" w:pos="1080"/>
          <w:tab w:val="left" w:pos="1440"/>
          <w:tab w:val="left" w:pos="1800"/>
        </w:tabs>
        <w:spacing w:after="120"/>
      </w:pPr>
      <w:r>
        <w:t>Treatment and/or prophylaxis of radiation-induced nausea and vomiting</w:t>
      </w:r>
      <w:r w:rsidR="00CA48E0" w:rsidRPr="00CA48E0">
        <w:rPr>
          <w:vertAlign w:val="superscript"/>
        </w:rPr>
        <w:t>14</w:t>
      </w:r>
    </w:p>
    <w:p w14:paraId="3249C287" w14:textId="77777777" w:rsidR="00380B92" w:rsidRPr="006801EB" w:rsidRDefault="00380B92" w:rsidP="006801EB">
      <w:pPr>
        <w:pStyle w:val="Heading4"/>
        <w:rPr>
          <w:rStyle w:val="Emphasis"/>
          <w:i w:val="0"/>
          <w:iCs w:val="0"/>
          <w:sz w:val="28"/>
        </w:rPr>
      </w:pPr>
      <w:r w:rsidRPr="006801EB">
        <w:t>Compendial</w:t>
      </w:r>
      <w:r w:rsidRPr="006801EB">
        <w:rPr>
          <w:rStyle w:val="Emphasis"/>
          <w:i w:val="0"/>
          <w:iCs w:val="0"/>
          <w:sz w:val="28"/>
        </w:rPr>
        <w:t xml:space="preserve"> Uses Ondansetron Only</w:t>
      </w:r>
    </w:p>
    <w:p w14:paraId="52B87F39" w14:textId="77777777" w:rsidR="00380B92" w:rsidRPr="00380B92" w:rsidRDefault="00380B92" w:rsidP="00635DC2">
      <w:pPr>
        <w:pStyle w:val="BodyText"/>
        <w:numPr>
          <w:ilvl w:val="0"/>
          <w:numId w:val="34"/>
        </w:numPr>
        <w:spacing w:after="60"/>
      </w:pPr>
      <w:r>
        <w:t>Hyperemesis Gravidarum</w:t>
      </w:r>
      <w:r w:rsidR="00CA48E0" w:rsidRPr="00CA48E0">
        <w:rPr>
          <w:vertAlign w:val="superscript"/>
        </w:rPr>
        <w:t>14,15</w:t>
      </w:r>
    </w:p>
    <w:p w14:paraId="0AF580CE" w14:textId="77777777" w:rsidR="00FE0C63" w:rsidRPr="006801EB" w:rsidRDefault="00685107" w:rsidP="00E050E1">
      <w:pPr>
        <w:pStyle w:val="Heading2"/>
      </w:pPr>
      <w:r>
        <w:t xml:space="preserve">Coverage </w:t>
      </w:r>
      <w:r w:rsidRPr="006801EB">
        <w:t>Criteria</w:t>
      </w:r>
    </w:p>
    <w:p w14:paraId="075B232D" w14:textId="77777777" w:rsidR="00380B92" w:rsidRPr="00635DC2" w:rsidRDefault="00380B92" w:rsidP="00635DC2">
      <w:pPr>
        <w:pStyle w:val="Heading3"/>
        <w:keepNext w:val="0"/>
      </w:pPr>
      <w:r w:rsidRPr="00635DC2">
        <w:t>Hyperemesis Gravidarum</w:t>
      </w:r>
    </w:p>
    <w:p w14:paraId="4E611BA3" w14:textId="77777777" w:rsidR="00380B92" w:rsidRDefault="00380B92" w:rsidP="00380B92">
      <w:pPr>
        <w:tabs>
          <w:tab w:val="left" w:pos="720"/>
          <w:tab w:val="left" w:pos="2880"/>
        </w:tabs>
        <w:rPr>
          <w:rFonts w:cs="Arial"/>
        </w:rPr>
      </w:pPr>
      <w:r>
        <w:rPr>
          <w:rFonts w:cs="Arial"/>
        </w:rPr>
        <w:t xml:space="preserve">Authorization may be granted for the diagnosis of </w:t>
      </w:r>
      <w:r w:rsidRPr="002F44DC">
        <w:rPr>
          <w:rFonts w:cs="Arial"/>
        </w:rPr>
        <w:t>Hyperemesis Gravidarum</w:t>
      </w:r>
      <w:r>
        <w:rPr>
          <w:rFonts w:cs="Arial"/>
        </w:rPr>
        <w:t xml:space="preserve"> when ALL of the following criteria are met:</w:t>
      </w:r>
    </w:p>
    <w:p w14:paraId="7E6E0F15" w14:textId="0A13D617" w:rsidR="00380B92" w:rsidRDefault="00380B92" w:rsidP="00380B92">
      <w:pPr>
        <w:pStyle w:val="ListParagraph"/>
        <w:numPr>
          <w:ilvl w:val="0"/>
          <w:numId w:val="35"/>
        </w:numPr>
        <w:tabs>
          <w:tab w:val="left" w:pos="720"/>
          <w:tab w:val="left" w:pos="2880"/>
        </w:tabs>
        <w:spacing w:after="0"/>
        <w:ind w:right="0"/>
        <w:textAlignment w:val="auto"/>
      </w:pPr>
      <w:r w:rsidRPr="00AF5B30">
        <w:t>The patient is pregnant</w:t>
      </w:r>
      <w:r w:rsidR="007D4B90">
        <w:t>.</w:t>
      </w:r>
    </w:p>
    <w:p w14:paraId="5F4594C9" w14:textId="18A7C0A2" w:rsidR="00380B92" w:rsidRDefault="00380B92" w:rsidP="00380B92">
      <w:pPr>
        <w:pStyle w:val="ListParagraph"/>
        <w:numPr>
          <w:ilvl w:val="0"/>
          <w:numId w:val="35"/>
        </w:numPr>
        <w:tabs>
          <w:tab w:val="left" w:pos="720"/>
          <w:tab w:val="left" w:pos="2880"/>
        </w:tabs>
        <w:spacing w:after="0"/>
        <w:ind w:right="0"/>
        <w:textAlignment w:val="auto"/>
      </w:pPr>
      <w:r>
        <w:t>The patient</w:t>
      </w:r>
      <w:r w:rsidRPr="002F44DC">
        <w:t xml:space="preserve"> has a documented risk for hospitalization</w:t>
      </w:r>
      <w:r w:rsidR="007D4B90">
        <w:t>.</w:t>
      </w:r>
    </w:p>
    <w:p w14:paraId="0B69BC1D" w14:textId="07A5428D" w:rsidR="00380B92" w:rsidRDefault="00380B92" w:rsidP="00380B92">
      <w:pPr>
        <w:pStyle w:val="ListParagraph"/>
        <w:numPr>
          <w:ilvl w:val="0"/>
          <w:numId w:val="35"/>
        </w:numPr>
        <w:spacing w:after="0"/>
        <w:ind w:right="0"/>
        <w:textAlignment w:val="auto"/>
        <w:rPr>
          <w:b/>
        </w:rPr>
      </w:pPr>
      <w:r>
        <w:t>The request is for ondansetron</w:t>
      </w:r>
      <w:r w:rsidR="007D4B90">
        <w:t>.</w:t>
      </w:r>
    </w:p>
    <w:p w14:paraId="726256E2" w14:textId="77777777" w:rsidR="00380B92" w:rsidRDefault="00380B92" w:rsidP="00635DC2">
      <w:pPr>
        <w:pStyle w:val="ListParagraph"/>
        <w:numPr>
          <w:ilvl w:val="0"/>
          <w:numId w:val="35"/>
        </w:numPr>
        <w:spacing w:after="120"/>
        <w:ind w:right="0"/>
        <w:textAlignment w:val="auto"/>
        <w:rPr>
          <w:bCs/>
        </w:rPr>
      </w:pPr>
      <w:r w:rsidRPr="00AE4ECC">
        <w:rPr>
          <w:bCs/>
        </w:rPr>
        <w:t xml:space="preserve">The patient has experienced an inadequate treatment response, intolerance, or the patient has a contraindication to TWO of the following medications: </w:t>
      </w:r>
      <w:r w:rsidRPr="007004DA">
        <w:rPr>
          <w:bCs/>
        </w:rPr>
        <w:t>dimenhydrinate (Dramamine), diphenhydramine (Benadryl), doxylamine/pyridoxine delayed-release (Diclegis), doxylamine/pyridoxine extended-release (Bonjesta), metoclopramide (Reglan), promethazine (Phenergan), trimethobenzamide (Tigan)</w:t>
      </w:r>
      <w:r>
        <w:rPr>
          <w:bCs/>
        </w:rPr>
        <w:t>,</w:t>
      </w:r>
      <w:r w:rsidRPr="007004DA">
        <w:rPr>
          <w:bCs/>
        </w:rPr>
        <w:t xml:space="preserve"> vitamin B6, vitamin B6 in combination with doxylamine</w:t>
      </w:r>
      <w:r>
        <w:rPr>
          <w:bCs/>
        </w:rPr>
        <w:t>.</w:t>
      </w:r>
    </w:p>
    <w:p w14:paraId="41AC1EB4" w14:textId="77777777" w:rsidR="00380B92" w:rsidRPr="00635DC2" w:rsidRDefault="00380B92" w:rsidP="00635DC2">
      <w:pPr>
        <w:pStyle w:val="Heading3"/>
        <w:keepNext w:val="0"/>
      </w:pPr>
      <w:bookmarkStart w:id="1" w:name="_Hlk67995609"/>
      <w:r w:rsidRPr="00635DC2">
        <w:t>Radiation Therapy or Moderate to Highly Emetogenic Chemotherapy</w:t>
      </w:r>
    </w:p>
    <w:p w14:paraId="0322A9F3" w14:textId="7C8A620E" w:rsidR="00380B92" w:rsidRPr="00AF5B30" w:rsidRDefault="00380B92" w:rsidP="00BF0BC8">
      <w:pPr>
        <w:pStyle w:val="BodyText"/>
      </w:pPr>
      <w:r>
        <w:lastRenderedPageBreak/>
        <w:t>Authorization may be granted when the patient is receiving radiation therapy or moderate to highly emetogenic chemotherapy</w:t>
      </w:r>
      <w:r w:rsidR="007D4B90">
        <w:t>.</w:t>
      </w:r>
    </w:p>
    <w:p w14:paraId="63DE787C" w14:textId="77777777" w:rsidR="00380B92" w:rsidRDefault="00380B92" w:rsidP="00BF0BC8">
      <w:pPr>
        <w:pStyle w:val="Heading2"/>
      </w:pPr>
      <w:r w:rsidRPr="00D47377">
        <w:t>Duration</w:t>
      </w:r>
      <w:r>
        <w:t xml:space="preserve"> of Approval (DOA):</w:t>
      </w:r>
    </w:p>
    <w:p w14:paraId="68C12981" w14:textId="77777777" w:rsidR="00C22F9B" w:rsidRPr="0073643F" w:rsidRDefault="00380B92" w:rsidP="00A00E11">
      <w:pPr>
        <w:pStyle w:val="BodyText"/>
        <w:numPr>
          <w:ilvl w:val="0"/>
          <w:numId w:val="46"/>
        </w:numPr>
        <w:ind w:left="720"/>
      </w:pPr>
      <w:r w:rsidRPr="00E6213B">
        <w:t>16-J: DOA: 6 months</w:t>
      </w:r>
      <w:bookmarkEnd w:id="1"/>
    </w:p>
    <w:p w14:paraId="55621F64" w14:textId="77777777" w:rsidR="00C96B3F" w:rsidRPr="008D1B34" w:rsidRDefault="00C96B3F" w:rsidP="008D1B34">
      <w:pPr>
        <w:pStyle w:val="Heading2"/>
      </w:pPr>
      <w:bookmarkStart w:id="2" w:name="S2.2"/>
      <w:bookmarkStart w:id="3" w:name="section-2.2"/>
      <w:bookmarkStart w:id="4" w:name="section-2.2.1"/>
      <w:bookmarkStart w:id="5" w:name="section-2.2.2"/>
      <w:bookmarkEnd w:id="2"/>
      <w:bookmarkEnd w:id="3"/>
      <w:bookmarkEnd w:id="4"/>
      <w:bookmarkEnd w:id="5"/>
      <w:r w:rsidRPr="008D1B34">
        <w:t>References</w:t>
      </w:r>
    </w:p>
    <w:p w14:paraId="305B1DE4" w14:textId="77777777" w:rsidR="00380B92" w:rsidRPr="00380B92" w:rsidRDefault="00380B92" w:rsidP="00635DC2">
      <w:pPr>
        <w:pStyle w:val="ReferenceOrdered"/>
        <w:keepNext w:val="0"/>
        <w:rPr>
          <w:caps/>
        </w:rPr>
      </w:pPr>
      <w:r w:rsidRPr="00380B92">
        <w:t>Anzemet Tablets [package insert]. Parsippany, NJ:</w:t>
      </w:r>
      <w:r w:rsidRPr="00C62BA1">
        <w:t xml:space="preserve"> Validus Pharmaceuticals LLC; June 2021.</w:t>
      </w:r>
    </w:p>
    <w:p w14:paraId="32967026" w14:textId="704118CF" w:rsidR="00380B92" w:rsidRPr="00380B92" w:rsidRDefault="00380B92" w:rsidP="00635DC2">
      <w:pPr>
        <w:pStyle w:val="ReferenceOrdered"/>
        <w:keepNext w:val="0"/>
        <w:rPr>
          <w:caps/>
        </w:rPr>
      </w:pPr>
      <w:bookmarkStart w:id="6" w:name="_Hlk61428763"/>
      <w:r w:rsidRPr="00380B92">
        <w:t xml:space="preserve">Granisetron Hydrochloride Tablet [package insert]. Berlin, CT: Breckenridge Pharmaceutical, Inc.; </w:t>
      </w:r>
      <w:r w:rsidR="00382D5A">
        <w:t>January 2024.</w:t>
      </w:r>
    </w:p>
    <w:p w14:paraId="50591DBF" w14:textId="77777777" w:rsidR="00380B92" w:rsidRPr="00380B92" w:rsidRDefault="00380B92" w:rsidP="00635DC2">
      <w:pPr>
        <w:pStyle w:val="ReferenceOrdered"/>
        <w:keepNext w:val="0"/>
        <w:rPr>
          <w:caps/>
        </w:rPr>
      </w:pPr>
      <w:r w:rsidRPr="00C62BA1">
        <w:rPr>
          <w:caps/>
          <w:lang w:val="fr-FR"/>
        </w:rPr>
        <w:t>G</w:t>
      </w:r>
      <w:r w:rsidRPr="00C62BA1">
        <w:rPr>
          <w:lang w:val="fr-FR"/>
        </w:rPr>
        <w:t xml:space="preserve">ranisetron Hydrochloride Injection [package insert]. </w:t>
      </w:r>
      <w:r w:rsidRPr="00380B92">
        <w:t>E. Windsor, NJ: AuroMedics Pharma LLC; December</w:t>
      </w:r>
      <w:r w:rsidRPr="00380B92">
        <w:rPr>
          <w:lang w:val="fr-FR"/>
        </w:rPr>
        <w:t xml:space="preserve"> </w:t>
      </w:r>
      <w:r w:rsidRPr="00380B92">
        <w:t xml:space="preserve">2021. </w:t>
      </w:r>
    </w:p>
    <w:bookmarkEnd w:id="6"/>
    <w:p w14:paraId="60D437AF" w14:textId="77777777" w:rsidR="0081176A" w:rsidRDefault="0081176A" w:rsidP="0081176A">
      <w:pPr>
        <w:pStyle w:val="ReferenceOrdered"/>
      </w:pPr>
      <w:r>
        <w:t>Ondansetron Injection [package insert]. Deerfield, IL: Baxter Health Corporation; February 2022.</w:t>
      </w:r>
    </w:p>
    <w:p w14:paraId="2649280D" w14:textId="77777777" w:rsidR="00380B92" w:rsidRPr="00380B92" w:rsidRDefault="00380B92" w:rsidP="00635DC2">
      <w:pPr>
        <w:pStyle w:val="ReferenceOrdered"/>
        <w:keepNext w:val="0"/>
        <w:rPr>
          <w:caps/>
        </w:rPr>
      </w:pPr>
      <w:bookmarkStart w:id="7" w:name="OLE_LINK2"/>
      <w:r w:rsidRPr="00380B92">
        <w:t>Ondansetron Tablets [package insert]. Saddle Brook, NJ: Rising Health, LLC; July 2022.</w:t>
      </w:r>
    </w:p>
    <w:p w14:paraId="5F924CEB" w14:textId="77777777" w:rsidR="00380B92" w:rsidRPr="00380B92" w:rsidRDefault="00380B92" w:rsidP="00635DC2">
      <w:pPr>
        <w:pStyle w:val="ReferenceOrdered"/>
        <w:keepNext w:val="0"/>
        <w:rPr>
          <w:caps/>
        </w:rPr>
      </w:pPr>
      <w:r w:rsidRPr="00380B92">
        <w:t>Ondansetron Orally Disintegrating Tablets [package insert]. East Windsor, NJ: Aurobindo Pharma USA, Inc.; November 2021.</w:t>
      </w:r>
    </w:p>
    <w:p w14:paraId="0A9DB72E" w14:textId="77777777" w:rsidR="00380B92" w:rsidRPr="00380B92" w:rsidRDefault="00380B92" w:rsidP="00635DC2">
      <w:pPr>
        <w:pStyle w:val="ReferenceOrdered"/>
        <w:keepNext w:val="0"/>
        <w:rPr>
          <w:caps/>
        </w:rPr>
      </w:pPr>
      <w:r w:rsidRPr="00380B92">
        <w:t>Ondansetron Oral Solution [package insert]. Memphis, TN: Northstar Rx LLC; December 2021.</w:t>
      </w:r>
      <w:bookmarkEnd w:id="7"/>
    </w:p>
    <w:p w14:paraId="5F891116" w14:textId="77777777" w:rsidR="00380B92" w:rsidRPr="00380B92" w:rsidRDefault="00380B92" w:rsidP="00635DC2">
      <w:pPr>
        <w:pStyle w:val="ReferenceOrdered"/>
        <w:keepNext w:val="0"/>
      </w:pPr>
      <w:r w:rsidRPr="00380B92">
        <w:t>Palonosetron Injection [package insert]. Princeton, NJ: Dr Reddy’s; August 2020.</w:t>
      </w:r>
    </w:p>
    <w:p w14:paraId="28616DBB" w14:textId="77777777" w:rsidR="00380B92" w:rsidRDefault="00380B92" w:rsidP="00635DC2">
      <w:pPr>
        <w:pStyle w:val="ReferenceOrdered"/>
        <w:keepNext w:val="0"/>
      </w:pPr>
      <w:r w:rsidRPr="00380B92">
        <w:t>Palonosetron Hydrochloride [package insert]. Eatontown, NJ: West-Ward Pharmaceuticals, Inc; October 2017.</w:t>
      </w:r>
    </w:p>
    <w:p w14:paraId="3CBB78A0" w14:textId="77777777" w:rsidR="00044588" w:rsidRPr="00380B92" w:rsidRDefault="00044588" w:rsidP="00635DC2">
      <w:pPr>
        <w:pStyle w:val="ReferenceOrdered"/>
        <w:keepNext w:val="0"/>
      </w:pPr>
      <w:r w:rsidRPr="003A4A08">
        <w:t>Posfrea Injection [package insert]. New Jersey: Avyxa Pharma, LLC; July 2024.</w:t>
      </w:r>
    </w:p>
    <w:p w14:paraId="1F08B356" w14:textId="77777777" w:rsidR="000B3572" w:rsidRPr="00605DAA" w:rsidRDefault="000B3572" w:rsidP="000B3572">
      <w:pPr>
        <w:pStyle w:val="ReferenceOrdered"/>
      </w:pPr>
      <w:bookmarkStart w:id="8" w:name="_Hlk61428795"/>
      <w:r w:rsidRPr="00605DAA">
        <w:t xml:space="preserve">Sancuso Patch [package insert]. </w:t>
      </w:r>
      <w:r>
        <w:t>Nashville, TN</w:t>
      </w:r>
      <w:r w:rsidRPr="00605DAA">
        <w:t xml:space="preserve">: </w:t>
      </w:r>
      <w:r>
        <w:t>Cumberland Pharmaceuticals</w:t>
      </w:r>
      <w:r w:rsidRPr="00605DAA">
        <w:t xml:space="preserve">, Inc.; </w:t>
      </w:r>
      <w:r>
        <w:t xml:space="preserve">July </w:t>
      </w:r>
      <w:r w:rsidRPr="00605DAA">
        <w:t>202</w:t>
      </w:r>
      <w:r>
        <w:t>4</w:t>
      </w:r>
      <w:r w:rsidRPr="00605DAA">
        <w:t>.</w:t>
      </w:r>
    </w:p>
    <w:bookmarkEnd w:id="8"/>
    <w:p w14:paraId="0A5DBA8F" w14:textId="77777777" w:rsidR="00380B92" w:rsidRPr="00380B92" w:rsidRDefault="00380B92" w:rsidP="00635DC2">
      <w:pPr>
        <w:pStyle w:val="ReferenceOrdered"/>
        <w:keepNext w:val="0"/>
        <w:rPr>
          <w:caps/>
        </w:rPr>
      </w:pPr>
      <w:proofErr w:type="spellStart"/>
      <w:r w:rsidRPr="00380B92">
        <w:t>Sustol</w:t>
      </w:r>
      <w:proofErr w:type="spellEnd"/>
      <w:r w:rsidRPr="00380B92">
        <w:t xml:space="preserve"> Injection [package insert]. San Diego, CA: Heron Therapeutics, Inc.; May 2023.</w:t>
      </w:r>
    </w:p>
    <w:p w14:paraId="217AC37B" w14:textId="3B2B9229" w:rsidR="00380B92" w:rsidRPr="00380B92" w:rsidRDefault="00380B92" w:rsidP="00635DC2">
      <w:pPr>
        <w:pStyle w:val="ReferenceOrdered"/>
        <w:keepNext w:val="0"/>
        <w:rPr>
          <w:color w:val="000000"/>
        </w:rPr>
      </w:pPr>
      <w:bookmarkStart w:id="9" w:name="_Hlk61268747"/>
      <w:bookmarkStart w:id="10" w:name="OLE_LINK18"/>
      <w:r w:rsidRPr="00380B92">
        <w:t>Lexicomp Online, AHFS DI (Adult and Pediatric) Online. Waltham, MA: UpToDate, Inc.; 202</w:t>
      </w:r>
      <w:r w:rsidR="004A434C">
        <w:t>4</w:t>
      </w:r>
      <w:r w:rsidRPr="00380B92">
        <w:t xml:space="preserve">. https://online.lexi.com. Accessed </w:t>
      </w:r>
      <w:r w:rsidR="006B54A0">
        <w:t>December</w:t>
      </w:r>
      <w:r w:rsidR="006B54A0" w:rsidRPr="00380B92">
        <w:t xml:space="preserve"> </w:t>
      </w:r>
      <w:r w:rsidR="004A434C">
        <w:t>1</w:t>
      </w:r>
      <w:r w:rsidR="006B54A0">
        <w:t>0</w:t>
      </w:r>
      <w:r w:rsidRPr="00380B92">
        <w:t>, 202</w:t>
      </w:r>
      <w:r w:rsidR="004A434C">
        <w:t>4</w:t>
      </w:r>
      <w:r w:rsidRPr="00380B92">
        <w:t>.</w:t>
      </w:r>
    </w:p>
    <w:p w14:paraId="7DAA1062" w14:textId="51C2BA75" w:rsidR="00380B92" w:rsidRPr="00380B92" w:rsidRDefault="00380B92" w:rsidP="00635DC2">
      <w:pPr>
        <w:pStyle w:val="ReferenceOrdered"/>
        <w:keepNext w:val="0"/>
      </w:pPr>
      <w:r w:rsidRPr="00380B92">
        <w:t>Micromedex</w:t>
      </w:r>
      <w:r w:rsidR="00C45A6E" w:rsidRPr="00542BBF">
        <w:t>®</w:t>
      </w:r>
      <w:r w:rsidRPr="00380B92">
        <w:t xml:space="preserve"> (electronic version). Merative, Ann Arbor, Michigan, USA. Available at: https://www.micromedexsolutions.com/ (cited: </w:t>
      </w:r>
      <w:r w:rsidR="006B54A0">
        <w:t>12</w:t>
      </w:r>
      <w:r w:rsidRPr="00380B92">
        <w:t>/</w:t>
      </w:r>
      <w:r w:rsidR="004A434C">
        <w:t>1</w:t>
      </w:r>
      <w:r w:rsidR="006B54A0">
        <w:t>0</w:t>
      </w:r>
      <w:r w:rsidRPr="00380B92">
        <w:t>/202</w:t>
      </w:r>
      <w:r w:rsidR="004A434C">
        <w:t>4</w:t>
      </w:r>
      <w:r w:rsidRPr="00380B92">
        <w:t>).</w:t>
      </w:r>
      <w:bookmarkEnd w:id="9"/>
    </w:p>
    <w:bookmarkEnd w:id="10"/>
    <w:p w14:paraId="0043837B" w14:textId="3D250722" w:rsidR="00380B92" w:rsidRPr="00380B92" w:rsidRDefault="00380B92" w:rsidP="00635DC2">
      <w:pPr>
        <w:pStyle w:val="ReferenceOrdered"/>
        <w:keepNext w:val="0"/>
      </w:pPr>
      <w:r w:rsidRPr="00380B92">
        <w:t>National Comprehensive Cancer Network. Clinical Practice Guidelines in Oncology. Antiemesis. Version 2.202</w:t>
      </w:r>
      <w:r w:rsidR="006B54A0">
        <w:t>4</w:t>
      </w:r>
      <w:r w:rsidRPr="00380B92">
        <w:t xml:space="preserve">. Available at: https://www.nccn.org/professionals/physician_gls/pdf/antiemesis.pdf. Accessed November </w:t>
      </w:r>
      <w:r w:rsidR="006B54A0">
        <w:t>29</w:t>
      </w:r>
      <w:r w:rsidRPr="00380B92">
        <w:t>, 202</w:t>
      </w:r>
      <w:r w:rsidR="006B54A0">
        <w:t>4</w:t>
      </w:r>
      <w:r w:rsidRPr="00380B92">
        <w:t>.</w:t>
      </w:r>
    </w:p>
    <w:p w14:paraId="3917AD2C" w14:textId="77777777" w:rsidR="00626EB9" w:rsidRDefault="00380B92" w:rsidP="00635DC2">
      <w:pPr>
        <w:pStyle w:val="ReferenceOrdered"/>
        <w:keepNext w:val="0"/>
      </w:pPr>
      <w:bookmarkStart w:id="11" w:name="OLE_LINK9"/>
      <w:r w:rsidRPr="00C62BA1">
        <w:rPr>
          <w:lang w:val="nb-NO"/>
        </w:rPr>
        <w:t xml:space="preserve">Hesketh P, Kris M, Basch E, et al. </w:t>
      </w:r>
      <w:r w:rsidRPr="00380B92">
        <w:t xml:space="preserve">Antiemetics: American Society of Clinical Oncology Clinical Practice Guideline Update. </w:t>
      </w:r>
      <w:r w:rsidRPr="00380B92">
        <w:rPr>
          <w:i/>
        </w:rPr>
        <w:t>J Clin Oncol</w:t>
      </w:r>
      <w:r w:rsidRPr="00380B92">
        <w:t xml:space="preserve"> 2020;38:2782-2797.</w:t>
      </w:r>
    </w:p>
    <w:p w14:paraId="5C5B4042" w14:textId="77777777" w:rsidR="00380B92" w:rsidRDefault="00380B92" w:rsidP="00635DC2">
      <w:pPr>
        <w:pStyle w:val="ReferenceOrdered"/>
        <w:keepNext w:val="0"/>
      </w:pPr>
      <w:bookmarkStart w:id="12" w:name="OLE_LINK1"/>
      <w:bookmarkEnd w:id="11"/>
      <w:r w:rsidRPr="00380B92">
        <w:t xml:space="preserve">American College of Obstetricians and Gynecologists Practice Bulletin No.189. Clinical Management Guidelines for Obstetrician-Gynecologists. Nausea and Vomiting of Pregnancy. </w:t>
      </w:r>
      <w:r w:rsidRPr="00380B92">
        <w:rPr>
          <w:i/>
        </w:rPr>
        <w:t xml:space="preserve">Obstet Gynecol </w:t>
      </w:r>
      <w:r w:rsidRPr="00380B92">
        <w:t>2018;131(1):e15-e30</w:t>
      </w:r>
      <w:bookmarkEnd w:id="12"/>
      <w:r w:rsidRPr="00380B92">
        <w:t>.</w:t>
      </w:r>
    </w:p>
    <w:p w14:paraId="778CA820" w14:textId="5CA34E46" w:rsidR="00AE0E33" w:rsidRPr="00380B92" w:rsidRDefault="00380B92" w:rsidP="00635DC2">
      <w:pPr>
        <w:pStyle w:val="ReferenceOrdered"/>
        <w:keepNext w:val="0"/>
      </w:pPr>
      <w:r w:rsidRPr="00380B92">
        <w:t xml:space="preserve">American Cancer Society. How is Chemotherapy Used to Treat Cancer? https://www.cancer.org/treatment/treatments-and-side-effects/treatment-types/chemotherapy/how-is-chemotherapy-used-to-treat-cancer.html. November 2019. Accessed November </w:t>
      </w:r>
      <w:r w:rsidR="006B54A0">
        <w:t>29</w:t>
      </w:r>
      <w:r w:rsidRPr="00380B92">
        <w:t>, 202</w:t>
      </w:r>
      <w:r w:rsidR="006B54A0">
        <w:t>4</w:t>
      </w:r>
      <w:r w:rsidRPr="00380B92">
        <w:t>.</w:t>
      </w:r>
    </w:p>
    <w:sectPr w:rsidR="00AE0E33" w:rsidRPr="00380B92" w:rsidSect="008F2143">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DD63A" w14:textId="77777777" w:rsidR="005F79E2" w:rsidRDefault="005F79E2">
      <w:r>
        <w:separator/>
      </w:r>
    </w:p>
  </w:endnote>
  <w:endnote w:type="continuationSeparator" w:id="0">
    <w:p w14:paraId="05E213DB" w14:textId="77777777" w:rsidR="005F79E2" w:rsidRDefault="005F79E2">
      <w:r>
        <w:continuationSeparator/>
      </w:r>
    </w:p>
  </w:endnote>
  <w:endnote w:type="continuationNotice" w:id="1">
    <w:p w14:paraId="702DE351" w14:textId="77777777" w:rsidR="005F79E2" w:rsidRDefault="005F7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826D3" w14:textId="717DF978" w:rsidR="008F2143" w:rsidRPr="00EC47B6" w:rsidRDefault="008F2143" w:rsidP="008F2143">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A949FC" w:rsidRPr="00A949FC">
      <w:rPr>
        <w:rFonts w:cs="Arial"/>
        <w:noProof/>
        <w:sz w:val="16"/>
        <w:szCs w:val="16"/>
      </w:rPr>
      <w:t>Antiemetic</w:t>
    </w:r>
    <w:r w:rsidR="00A949FC">
      <w:rPr>
        <w:rFonts w:cs="Arial"/>
        <w:noProof/>
        <w:snapToGrid w:val="0"/>
        <w:color w:val="000000"/>
        <w:sz w:val="16"/>
        <w:szCs w:val="16"/>
      </w:rPr>
      <w:t xml:space="preserve"> 5-HT3 Post</w:t>
    </w:r>
    <w:r w:rsidR="00A949FC" w:rsidRPr="00A949FC">
      <w:rPr>
        <w:rFonts w:cs="Arial"/>
        <w:noProof/>
        <w:sz w:val="16"/>
        <w:szCs w:val="16"/>
      </w:rPr>
      <w:t xml:space="preserve"> Limit</w:t>
    </w:r>
    <w:r w:rsidR="00A949FC">
      <w:rPr>
        <w:rFonts w:cs="Arial"/>
        <w:noProof/>
        <w:snapToGrid w:val="0"/>
        <w:color w:val="000000"/>
        <w:sz w:val="16"/>
        <w:szCs w:val="16"/>
      </w:rPr>
      <w:t xml:space="preserve"> PA 16-J P01-2025.docx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1D163988" w14:textId="77777777" w:rsidR="008F2143" w:rsidRPr="00EC47B6" w:rsidRDefault="008F2143" w:rsidP="008F2143">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57265B5" w14:textId="26C95CB8" w:rsidR="00FE000B" w:rsidRPr="008F2143" w:rsidRDefault="008F2143" w:rsidP="008F2143">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23471" w14:textId="4F22F36D" w:rsidR="00FE6B5A" w:rsidRPr="00EC47B6" w:rsidRDefault="00FE6B5A" w:rsidP="00FE6B5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89798E" w:rsidRPr="0089798E">
      <w:rPr>
        <w:rFonts w:cs="Arial"/>
        <w:noProof/>
        <w:sz w:val="16"/>
        <w:szCs w:val="16"/>
      </w:rPr>
      <w:t>Antiemetic</w:t>
    </w:r>
    <w:r w:rsidR="0089798E">
      <w:rPr>
        <w:rFonts w:cs="Arial"/>
        <w:noProof/>
        <w:snapToGrid w:val="0"/>
        <w:color w:val="000000"/>
        <w:sz w:val="16"/>
        <w:szCs w:val="16"/>
      </w:rPr>
      <w:t xml:space="preserve"> 5-HT3 Post</w:t>
    </w:r>
    <w:r w:rsidR="0089798E" w:rsidRPr="0089798E">
      <w:rPr>
        <w:rFonts w:cs="Arial"/>
        <w:noProof/>
        <w:sz w:val="16"/>
        <w:szCs w:val="16"/>
      </w:rPr>
      <w:t xml:space="preserve"> Limit</w:t>
    </w:r>
    <w:r w:rsidR="0089798E">
      <w:rPr>
        <w:rFonts w:cs="Arial"/>
        <w:noProof/>
        <w:snapToGrid w:val="0"/>
        <w:color w:val="000000"/>
        <w:sz w:val="16"/>
        <w:szCs w:val="16"/>
      </w:rPr>
      <w:t xml:space="preserve"> PA 16-J 01-2025_R.docx</w:t>
    </w:r>
    <w:r w:rsidRPr="00EC47B6">
      <w:rPr>
        <w:rFonts w:cs="Arial"/>
        <w:noProof/>
        <w:sz w:val="16"/>
        <w:szCs w:val="16"/>
      </w:rPr>
      <w:fldChar w:fldCharType="end"/>
    </w:r>
    <w:r w:rsidRPr="00EC47B6">
      <w:rPr>
        <w:rFonts w:cs="Arial"/>
        <w:snapToGrid w:val="0"/>
        <w:color w:val="000000"/>
        <w:sz w:val="16"/>
      </w:rPr>
      <w:tab/>
      <w:t>© 202</w:t>
    </w:r>
    <w:r w:rsidR="00AC7D09">
      <w:rPr>
        <w:rFonts w:cs="Arial"/>
        <w:snapToGrid w:val="0"/>
        <w:color w:val="000000"/>
        <w:sz w:val="16"/>
      </w:rPr>
      <w:t>5</w:t>
    </w:r>
    <w:r w:rsidRPr="00EC47B6">
      <w:rPr>
        <w:rFonts w:cs="Arial"/>
        <w:snapToGrid w:val="0"/>
        <w:color w:val="000000"/>
        <w:sz w:val="16"/>
      </w:rPr>
      <w:t xml:space="preserve"> CVS Caremark. All rights reserved.</w:t>
    </w:r>
  </w:p>
  <w:p w14:paraId="04A2A4E0" w14:textId="20BC0A7F" w:rsidR="00FE6B5A" w:rsidRPr="00EC47B6" w:rsidRDefault="00FE6B5A" w:rsidP="00FE6B5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DE05D96" w14:textId="68EB6D58" w:rsidR="00FE6B5A" w:rsidRDefault="00FE6B5A" w:rsidP="008F2143">
    <w:pPr>
      <w:autoSpaceDE w:val="0"/>
      <w:autoSpaceDN w:val="0"/>
      <w:adjustRightInd w:val="0"/>
      <w:jc w:val="cente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34B65" w14:textId="77777777" w:rsidR="005F79E2" w:rsidRDefault="005F79E2">
      <w:r>
        <w:separator/>
      </w:r>
    </w:p>
  </w:footnote>
  <w:footnote w:type="continuationSeparator" w:id="0">
    <w:p w14:paraId="6EE5EDB7" w14:textId="77777777" w:rsidR="005F79E2" w:rsidRDefault="005F79E2">
      <w:r>
        <w:continuationSeparator/>
      </w:r>
    </w:p>
  </w:footnote>
  <w:footnote w:type="continuationNotice" w:id="1">
    <w:p w14:paraId="1C647316" w14:textId="77777777" w:rsidR="005F79E2" w:rsidRDefault="005F79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53FE0"/>
    <w:multiLevelType w:val="hybridMultilevel"/>
    <w:tmpl w:val="45C047FC"/>
    <w:lvl w:ilvl="0" w:tplc="041D0001">
      <w:start w:val="1"/>
      <w:numFmt w:val="bullet"/>
      <w:lvlText w:val=""/>
      <w:lvlJc w:val="left"/>
      <w:pPr>
        <w:ind w:left="1130" w:hanging="360"/>
      </w:pPr>
      <w:rPr>
        <w:rFonts w:ascii="Symbol" w:hAnsi="Symbol" w:hint="default"/>
      </w:rPr>
    </w:lvl>
    <w:lvl w:ilvl="1" w:tplc="041D0003" w:tentative="1">
      <w:start w:val="1"/>
      <w:numFmt w:val="bullet"/>
      <w:lvlText w:val="o"/>
      <w:lvlJc w:val="left"/>
      <w:pPr>
        <w:ind w:left="1850" w:hanging="360"/>
      </w:pPr>
      <w:rPr>
        <w:rFonts w:ascii="Courier New" w:hAnsi="Courier New" w:cs="Courier New" w:hint="default"/>
      </w:rPr>
    </w:lvl>
    <w:lvl w:ilvl="2" w:tplc="041D0005" w:tentative="1">
      <w:start w:val="1"/>
      <w:numFmt w:val="bullet"/>
      <w:lvlText w:val=""/>
      <w:lvlJc w:val="left"/>
      <w:pPr>
        <w:ind w:left="2570" w:hanging="360"/>
      </w:pPr>
      <w:rPr>
        <w:rFonts w:ascii="Wingdings" w:hAnsi="Wingdings" w:hint="default"/>
      </w:rPr>
    </w:lvl>
    <w:lvl w:ilvl="3" w:tplc="041D0001" w:tentative="1">
      <w:start w:val="1"/>
      <w:numFmt w:val="bullet"/>
      <w:lvlText w:val=""/>
      <w:lvlJc w:val="left"/>
      <w:pPr>
        <w:ind w:left="3290" w:hanging="360"/>
      </w:pPr>
      <w:rPr>
        <w:rFonts w:ascii="Symbol" w:hAnsi="Symbol" w:hint="default"/>
      </w:rPr>
    </w:lvl>
    <w:lvl w:ilvl="4" w:tplc="041D0003" w:tentative="1">
      <w:start w:val="1"/>
      <w:numFmt w:val="bullet"/>
      <w:lvlText w:val="o"/>
      <w:lvlJc w:val="left"/>
      <w:pPr>
        <w:ind w:left="4010" w:hanging="360"/>
      </w:pPr>
      <w:rPr>
        <w:rFonts w:ascii="Courier New" w:hAnsi="Courier New" w:cs="Courier New" w:hint="default"/>
      </w:rPr>
    </w:lvl>
    <w:lvl w:ilvl="5" w:tplc="041D0005" w:tentative="1">
      <w:start w:val="1"/>
      <w:numFmt w:val="bullet"/>
      <w:lvlText w:val=""/>
      <w:lvlJc w:val="left"/>
      <w:pPr>
        <w:ind w:left="4730" w:hanging="360"/>
      </w:pPr>
      <w:rPr>
        <w:rFonts w:ascii="Wingdings" w:hAnsi="Wingdings" w:hint="default"/>
      </w:rPr>
    </w:lvl>
    <w:lvl w:ilvl="6" w:tplc="041D0001" w:tentative="1">
      <w:start w:val="1"/>
      <w:numFmt w:val="bullet"/>
      <w:lvlText w:val=""/>
      <w:lvlJc w:val="left"/>
      <w:pPr>
        <w:ind w:left="5450" w:hanging="360"/>
      </w:pPr>
      <w:rPr>
        <w:rFonts w:ascii="Symbol" w:hAnsi="Symbol" w:hint="default"/>
      </w:rPr>
    </w:lvl>
    <w:lvl w:ilvl="7" w:tplc="041D0003" w:tentative="1">
      <w:start w:val="1"/>
      <w:numFmt w:val="bullet"/>
      <w:lvlText w:val="o"/>
      <w:lvlJc w:val="left"/>
      <w:pPr>
        <w:ind w:left="6170" w:hanging="360"/>
      </w:pPr>
      <w:rPr>
        <w:rFonts w:ascii="Courier New" w:hAnsi="Courier New" w:cs="Courier New" w:hint="default"/>
      </w:rPr>
    </w:lvl>
    <w:lvl w:ilvl="8" w:tplc="041D0005" w:tentative="1">
      <w:start w:val="1"/>
      <w:numFmt w:val="bullet"/>
      <w:lvlText w:val=""/>
      <w:lvlJc w:val="left"/>
      <w:pPr>
        <w:ind w:left="6890" w:hanging="360"/>
      </w:pPr>
      <w:rPr>
        <w:rFonts w:ascii="Wingdings" w:hAnsi="Wingdings" w:hint="default"/>
      </w:rPr>
    </w:lvl>
  </w:abstractNum>
  <w:abstractNum w:abstractNumId="11" w15:restartNumberingAfterBreak="0">
    <w:nsid w:val="0127534C"/>
    <w:multiLevelType w:val="hybridMultilevel"/>
    <w:tmpl w:val="409403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40126E"/>
    <w:multiLevelType w:val="hybridMultilevel"/>
    <w:tmpl w:val="8D70A90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02D25613"/>
    <w:multiLevelType w:val="singleLevel"/>
    <w:tmpl w:val="A3A22EFC"/>
    <w:lvl w:ilvl="0">
      <w:start w:val="1"/>
      <w:numFmt w:val="decimal"/>
      <w:lvlText w:val="%1. "/>
      <w:legacy w:legacy="1" w:legacySpace="0" w:legacyIndent="360"/>
      <w:lvlJc w:val="left"/>
      <w:pPr>
        <w:ind w:left="360" w:hanging="360"/>
      </w:pPr>
      <w:rPr>
        <w:rFonts w:ascii="Arial" w:hAnsi="Arial" w:hint="default"/>
        <w:b w:val="0"/>
        <w:i w:val="0"/>
        <w:sz w:val="20"/>
      </w:rPr>
    </w:lvl>
  </w:abstractNum>
  <w:abstractNum w:abstractNumId="14"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182D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14776D7"/>
    <w:multiLevelType w:val="hybridMultilevel"/>
    <w:tmpl w:val="C0644E14"/>
    <w:lvl w:ilvl="0" w:tplc="041D0001">
      <w:start w:val="1"/>
      <w:numFmt w:val="bullet"/>
      <w:lvlText w:val=""/>
      <w:lvlJc w:val="left"/>
      <w:pPr>
        <w:ind w:left="2520" w:hanging="360"/>
      </w:pPr>
      <w:rPr>
        <w:rFonts w:ascii="Symbol" w:hAnsi="Symbol" w:hint="default"/>
      </w:rPr>
    </w:lvl>
    <w:lvl w:ilvl="1" w:tplc="041D0003" w:tentative="1">
      <w:start w:val="1"/>
      <w:numFmt w:val="bullet"/>
      <w:lvlText w:val="o"/>
      <w:lvlJc w:val="left"/>
      <w:pPr>
        <w:ind w:left="3240" w:hanging="360"/>
      </w:pPr>
      <w:rPr>
        <w:rFonts w:ascii="Courier New" w:hAnsi="Courier New" w:cs="Courier New" w:hint="default"/>
      </w:rPr>
    </w:lvl>
    <w:lvl w:ilvl="2" w:tplc="041D0005" w:tentative="1">
      <w:start w:val="1"/>
      <w:numFmt w:val="bullet"/>
      <w:lvlText w:val=""/>
      <w:lvlJc w:val="left"/>
      <w:pPr>
        <w:ind w:left="3960" w:hanging="360"/>
      </w:pPr>
      <w:rPr>
        <w:rFonts w:ascii="Wingdings" w:hAnsi="Wingdings" w:hint="default"/>
      </w:rPr>
    </w:lvl>
    <w:lvl w:ilvl="3" w:tplc="041D0001" w:tentative="1">
      <w:start w:val="1"/>
      <w:numFmt w:val="bullet"/>
      <w:lvlText w:val=""/>
      <w:lvlJc w:val="left"/>
      <w:pPr>
        <w:ind w:left="4680" w:hanging="360"/>
      </w:pPr>
      <w:rPr>
        <w:rFonts w:ascii="Symbol" w:hAnsi="Symbol" w:hint="default"/>
      </w:rPr>
    </w:lvl>
    <w:lvl w:ilvl="4" w:tplc="041D0003" w:tentative="1">
      <w:start w:val="1"/>
      <w:numFmt w:val="bullet"/>
      <w:lvlText w:val="o"/>
      <w:lvlJc w:val="left"/>
      <w:pPr>
        <w:ind w:left="5400" w:hanging="360"/>
      </w:pPr>
      <w:rPr>
        <w:rFonts w:ascii="Courier New" w:hAnsi="Courier New" w:cs="Courier New" w:hint="default"/>
      </w:rPr>
    </w:lvl>
    <w:lvl w:ilvl="5" w:tplc="041D0005" w:tentative="1">
      <w:start w:val="1"/>
      <w:numFmt w:val="bullet"/>
      <w:lvlText w:val=""/>
      <w:lvlJc w:val="left"/>
      <w:pPr>
        <w:ind w:left="6120" w:hanging="360"/>
      </w:pPr>
      <w:rPr>
        <w:rFonts w:ascii="Wingdings" w:hAnsi="Wingdings" w:hint="default"/>
      </w:rPr>
    </w:lvl>
    <w:lvl w:ilvl="6" w:tplc="041D0001" w:tentative="1">
      <w:start w:val="1"/>
      <w:numFmt w:val="bullet"/>
      <w:lvlText w:val=""/>
      <w:lvlJc w:val="left"/>
      <w:pPr>
        <w:ind w:left="6840" w:hanging="360"/>
      </w:pPr>
      <w:rPr>
        <w:rFonts w:ascii="Symbol" w:hAnsi="Symbol" w:hint="default"/>
      </w:rPr>
    </w:lvl>
    <w:lvl w:ilvl="7" w:tplc="041D0003" w:tentative="1">
      <w:start w:val="1"/>
      <w:numFmt w:val="bullet"/>
      <w:lvlText w:val="o"/>
      <w:lvlJc w:val="left"/>
      <w:pPr>
        <w:ind w:left="7560" w:hanging="360"/>
      </w:pPr>
      <w:rPr>
        <w:rFonts w:ascii="Courier New" w:hAnsi="Courier New" w:cs="Courier New" w:hint="default"/>
      </w:rPr>
    </w:lvl>
    <w:lvl w:ilvl="8" w:tplc="041D0005" w:tentative="1">
      <w:start w:val="1"/>
      <w:numFmt w:val="bullet"/>
      <w:lvlText w:val=""/>
      <w:lvlJc w:val="left"/>
      <w:pPr>
        <w:ind w:left="8280" w:hanging="360"/>
      </w:pPr>
      <w:rPr>
        <w:rFonts w:ascii="Wingdings" w:hAnsi="Wingdings" w:hint="default"/>
      </w:rPr>
    </w:lvl>
  </w:abstractNum>
  <w:abstractNum w:abstractNumId="19"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0"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113172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95E2862"/>
    <w:multiLevelType w:val="hybridMultilevel"/>
    <w:tmpl w:val="3468C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A82D28"/>
    <w:multiLevelType w:val="hybridMultilevel"/>
    <w:tmpl w:val="8892C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9216D"/>
    <w:multiLevelType w:val="hybridMultilevel"/>
    <w:tmpl w:val="3BCC7DE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46F61874"/>
    <w:multiLevelType w:val="hybridMultilevel"/>
    <w:tmpl w:val="8C08AB2E"/>
    <w:lvl w:ilvl="0" w:tplc="33B4F5D2">
      <w:start w:val="1"/>
      <w:numFmt w:val="bullet"/>
      <w:lvlText w:val=""/>
      <w:lvlJc w:val="left"/>
      <w:pPr>
        <w:ind w:left="1080" w:hanging="360"/>
      </w:pPr>
      <w:rPr>
        <w:rFonts w:ascii="Symbol" w:hAnsi="Symbol" w:hint="default"/>
        <w:b/>
        <w:bCs w:val="0"/>
        <w:i w:val="0"/>
        <w:w w:val="99"/>
        <w:sz w:val="22"/>
        <w:szCs w:val="2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DAA4591"/>
    <w:multiLevelType w:val="hybridMultilevel"/>
    <w:tmpl w:val="054EF0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1D150D"/>
    <w:multiLevelType w:val="hybridMultilevel"/>
    <w:tmpl w:val="9FFE6DE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57411204"/>
    <w:multiLevelType w:val="hybridMultilevel"/>
    <w:tmpl w:val="BE36C01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2"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93E50"/>
    <w:multiLevelType w:val="hybridMultilevel"/>
    <w:tmpl w:val="69788FD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88645D"/>
    <w:multiLevelType w:val="hybridMultilevel"/>
    <w:tmpl w:val="2280E80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38"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39514B"/>
    <w:multiLevelType w:val="hybridMultilevel"/>
    <w:tmpl w:val="F558F35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15:restartNumberingAfterBreak="0">
    <w:nsid w:val="6A423DBC"/>
    <w:multiLevelType w:val="hybridMultilevel"/>
    <w:tmpl w:val="5078A3E6"/>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1" w15:restartNumberingAfterBreak="0">
    <w:nsid w:val="6EA86D53"/>
    <w:multiLevelType w:val="hybridMultilevel"/>
    <w:tmpl w:val="97C87DF8"/>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2" w15:restartNumberingAfterBreak="0">
    <w:nsid w:val="704557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07D28A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7750F9D"/>
    <w:multiLevelType w:val="hybridMultilevel"/>
    <w:tmpl w:val="7FCAF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913DD6"/>
    <w:multiLevelType w:val="hybridMultilevel"/>
    <w:tmpl w:val="0C0EC9C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728E6"/>
    <w:multiLevelType w:val="singleLevel"/>
    <w:tmpl w:val="4D260592"/>
    <w:lvl w:ilvl="0">
      <w:start w:val="1"/>
      <w:numFmt w:val="decimal"/>
      <w:lvlText w:val="%1. "/>
      <w:legacy w:legacy="1" w:legacySpace="0" w:legacyIndent="360"/>
      <w:lvlJc w:val="left"/>
      <w:pPr>
        <w:ind w:left="360" w:hanging="360"/>
      </w:pPr>
      <w:rPr>
        <w:rFonts w:ascii="Arial" w:hAnsi="Arial" w:cs="Arial" w:hint="default"/>
        <w:b w:val="0"/>
        <w:i w:val="0"/>
        <w:sz w:val="20"/>
      </w:rPr>
    </w:lvl>
  </w:abstractNum>
  <w:abstractNum w:abstractNumId="48" w15:restartNumberingAfterBreak="0">
    <w:nsid w:val="79E47019"/>
    <w:multiLevelType w:val="hybridMultilevel"/>
    <w:tmpl w:val="FBF8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6"/>
  </w:num>
  <w:num w:numId="2" w16cid:durableId="606935877">
    <w:abstractNumId w:val="36"/>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7"/>
  </w:num>
  <w:num w:numId="15" w16cid:durableId="616722934">
    <w:abstractNumId w:val="14"/>
  </w:num>
  <w:num w:numId="16" w16cid:durableId="898320195">
    <w:abstractNumId w:val="25"/>
  </w:num>
  <w:num w:numId="17" w16cid:durableId="2128498676">
    <w:abstractNumId w:val="46"/>
  </w:num>
  <w:num w:numId="18" w16cid:durableId="299724409">
    <w:abstractNumId w:val="32"/>
  </w:num>
  <w:num w:numId="19" w16cid:durableId="214585573">
    <w:abstractNumId w:val="19"/>
  </w:num>
  <w:num w:numId="20" w16cid:durableId="1289816170">
    <w:abstractNumId w:val="20"/>
  </w:num>
  <w:num w:numId="21" w16cid:durableId="1066490929">
    <w:abstractNumId w:val="49"/>
  </w:num>
  <w:num w:numId="22" w16cid:durableId="1472481103">
    <w:abstractNumId w:val="34"/>
  </w:num>
  <w:num w:numId="23" w16cid:durableId="1997420403">
    <w:abstractNumId w:val="38"/>
  </w:num>
  <w:num w:numId="24" w16cid:durableId="33312838">
    <w:abstractNumId w:val="33"/>
  </w:num>
  <w:num w:numId="25" w16cid:durableId="507404939">
    <w:abstractNumId w:val="24"/>
  </w:num>
  <w:num w:numId="26" w16cid:durableId="565339041">
    <w:abstractNumId w:val="21"/>
  </w:num>
  <w:num w:numId="27" w16cid:durableId="1708988784">
    <w:abstractNumId w:val="43"/>
  </w:num>
  <w:num w:numId="28" w16cid:durableId="1589774651">
    <w:abstractNumId w:val="15"/>
  </w:num>
  <w:num w:numId="29" w16cid:durableId="1443573327">
    <w:abstractNumId w:val="42"/>
  </w:num>
  <w:num w:numId="30" w16cid:durableId="36900001">
    <w:abstractNumId w:val="44"/>
  </w:num>
  <w:num w:numId="31" w16cid:durableId="826550960">
    <w:abstractNumId w:val="22"/>
  </w:num>
  <w:num w:numId="32" w16cid:durableId="1658805064">
    <w:abstractNumId w:val="48"/>
  </w:num>
  <w:num w:numId="33" w16cid:durableId="676618755">
    <w:abstractNumId w:val="28"/>
  </w:num>
  <w:num w:numId="34" w16cid:durableId="1122847036">
    <w:abstractNumId w:val="11"/>
  </w:num>
  <w:num w:numId="35" w16cid:durableId="839539554">
    <w:abstractNumId w:val="23"/>
  </w:num>
  <w:num w:numId="36" w16cid:durableId="1473868167">
    <w:abstractNumId w:val="47"/>
  </w:num>
  <w:num w:numId="37" w16cid:durableId="1844323678">
    <w:abstractNumId w:val="26"/>
  </w:num>
  <w:num w:numId="38" w16cid:durableId="1601526178">
    <w:abstractNumId w:val="35"/>
  </w:num>
  <w:num w:numId="39" w16cid:durableId="1226911149">
    <w:abstractNumId w:val="45"/>
  </w:num>
  <w:num w:numId="40" w16cid:durableId="1824392911">
    <w:abstractNumId w:val="39"/>
  </w:num>
  <w:num w:numId="41" w16cid:durableId="2013605653">
    <w:abstractNumId w:val="37"/>
  </w:num>
  <w:num w:numId="42" w16cid:durableId="1083061924">
    <w:abstractNumId w:val="40"/>
  </w:num>
  <w:num w:numId="43" w16cid:durableId="1134836181">
    <w:abstractNumId w:val="41"/>
  </w:num>
  <w:num w:numId="44" w16cid:durableId="147744874">
    <w:abstractNumId w:val="12"/>
  </w:num>
  <w:num w:numId="45" w16cid:durableId="725489870">
    <w:abstractNumId w:val="30"/>
  </w:num>
  <w:num w:numId="46" w16cid:durableId="2108305684">
    <w:abstractNumId w:val="18"/>
  </w:num>
  <w:num w:numId="47" w16cid:durableId="1073505079">
    <w:abstractNumId w:val="10"/>
  </w:num>
  <w:num w:numId="48" w16cid:durableId="983967634">
    <w:abstractNumId w:val="31"/>
  </w:num>
  <w:num w:numId="49" w16cid:durableId="1810437328">
    <w:abstractNumId w:val="27"/>
  </w:num>
  <w:num w:numId="50" w16cid:durableId="786119226">
    <w:abstractNumId w:val="13"/>
    <w:lvlOverride w:ilvl="0">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3D2C"/>
    <w:rsid w:val="000040CA"/>
    <w:rsid w:val="00004110"/>
    <w:rsid w:val="00004F4E"/>
    <w:rsid w:val="00005C28"/>
    <w:rsid w:val="00005F42"/>
    <w:rsid w:val="00006174"/>
    <w:rsid w:val="00006AC2"/>
    <w:rsid w:val="00006E19"/>
    <w:rsid w:val="00007844"/>
    <w:rsid w:val="000079A7"/>
    <w:rsid w:val="00007A56"/>
    <w:rsid w:val="000106D6"/>
    <w:rsid w:val="00010A20"/>
    <w:rsid w:val="00010FE0"/>
    <w:rsid w:val="00011D89"/>
    <w:rsid w:val="00011ED0"/>
    <w:rsid w:val="00012717"/>
    <w:rsid w:val="00012727"/>
    <w:rsid w:val="00012BCD"/>
    <w:rsid w:val="00013653"/>
    <w:rsid w:val="000141E7"/>
    <w:rsid w:val="000148F0"/>
    <w:rsid w:val="00014F64"/>
    <w:rsid w:val="00015BF1"/>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A93"/>
    <w:rsid w:val="00036079"/>
    <w:rsid w:val="00037636"/>
    <w:rsid w:val="00037A95"/>
    <w:rsid w:val="000425B0"/>
    <w:rsid w:val="00043056"/>
    <w:rsid w:val="00043EA9"/>
    <w:rsid w:val="00044588"/>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480"/>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B94"/>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3572"/>
    <w:rsid w:val="000B40A1"/>
    <w:rsid w:val="000B57DC"/>
    <w:rsid w:val="000B5871"/>
    <w:rsid w:val="000B5E31"/>
    <w:rsid w:val="000B6086"/>
    <w:rsid w:val="000B61D7"/>
    <w:rsid w:val="000B7167"/>
    <w:rsid w:val="000B71C5"/>
    <w:rsid w:val="000B7827"/>
    <w:rsid w:val="000B7CFC"/>
    <w:rsid w:val="000C1120"/>
    <w:rsid w:val="000C1550"/>
    <w:rsid w:val="000C2343"/>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E095D"/>
    <w:rsid w:val="000E0C62"/>
    <w:rsid w:val="000E24FA"/>
    <w:rsid w:val="000E2B52"/>
    <w:rsid w:val="000E2ECC"/>
    <w:rsid w:val="000E37E4"/>
    <w:rsid w:val="000E3A1B"/>
    <w:rsid w:val="000E3DD4"/>
    <w:rsid w:val="000E44D1"/>
    <w:rsid w:val="000E65C5"/>
    <w:rsid w:val="000E6D53"/>
    <w:rsid w:val="000E7263"/>
    <w:rsid w:val="000E7B01"/>
    <w:rsid w:val="000E7C60"/>
    <w:rsid w:val="000F0162"/>
    <w:rsid w:val="000F0AC9"/>
    <w:rsid w:val="000F1039"/>
    <w:rsid w:val="000F1FBC"/>
    <w:rsid w:val="000F2A45"/>
    <w:rsid w:val="000F3023"/>
    <w:rsid w:val="000F41E3"/>
    <w:rsid w:val="000F4745"/>
    <w:rsid w:val="000F48F3"/>
    <w:rsid w:val="000F5383"/>
    <w:rsid w:val="000F5A0F"/>
    <w:rsid w:val="000F61E0"/>
    <w:rsid w:val="000F677F"/>
    <w:rsid w:val="000F69A0"/>
    <w:rsid w:val="000F6E71"/>
    <w:rsid w:val="000F75BA"/>
    <w:rsid w:val="001001E0"/>
    <w:rsid w:val="001012A6"/>
    <w:rsid w:val="00101748"/>
    <w:rsid w:val="00101C90"/>
    <w:rsid w:val="00101D40"/>
    <w:rsid w:val="00102F57"/>
    <w:rsid w:val="0010327C"/>
    <w:rsid w:val="00103E4B"/>
    <w:rsid w:val="00103E71"/>
    <w:rsid w:val="00104849"/>
    <w:rsid w:val="0010527A"/>
    <w:rsid w:val="001054B4"/>
    <w:rsid w:val="00105956"/>
    <w:rsid w:val="00107394"/>
    <w:rsid w:val="001074E7"/>
    <w:rsid w:val="001075C1"/>
    <w:rsid w:val="00107838"/>
    <w:rsid w:val="00107B1D"/>
    <w:rsid w:val="00110AF8"/>
    <w:rsid w:val="00110DE3"/>
    <w:rsid w:val="00110F57"/>
    <w:rsid w:val="00111842"/>
    <w:rsid w:val="001120B7"/>
    <w:rsid w:val="0011302A"/>
    <w:rsid w:val="0011411C"/>
    <w:rsid w:val="00115519"/>
    <w:rsid w:val="001155D7"/>
    <w:rsid w:val="001156BC"/>
    <w:rsid w:val="001159B3"/>
    <w:rsid w:val="0011622E"/>
    <w:rsid w:val="00117495"/>
    <w:rsid w:val="0011772F"/>
    <w:rsid w:val="001202DD"/>
    <w:rsid w:val="00121783"/>
    <w:rsid w:val="00121BD0"/>
    <w:rsid w:val="00121F7F"/>
    <w:rsid w:val="00122472"/>
    <w:rsid w:val="001244EB"/>
    <w:rsid w:val="00125550"/>
    <w:rsid w:val="00127117"/>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2B46"/>
    <w:rsid w:val="00142DE9"/>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0BBF"/>
    <w:rsid w:val="00172B34"/>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5D24"/>
    <w:rsid w:val="0019677F"/>
    <w:rsid w:val="0019733B"/>
    <w:rsid w:val="00197771"/>
    <w:rsid w:val="001A0E7C"/>
    <w:rsid w:val="001A2781"/>
    <w:rsid w:val="001A2987"/>
    <w:rsid w:val="001A320A"/>
    <w:rsid w:val="001A33ED"/>
    <w:rsid w:val="001A40E1"/>
    <w:rsid w:val="001A432C"/>
    <w:rsid w:val="001A4C1C"/>
    <w:rsid w:val="001A4DBB"/>
    <w:rsid w:val="001A576D"/>
    <w:rsid w:val="001A57C5"/>
    <w:rsid w:val="001A6053"/>
    <w:rsid w:val="001A6457"/>
    <w:rsid w:val="001A7761"/>
    <w:rsid w:val="001B2660"/>
    <w:rsid w:val="001B459A"/>
    <w:rsid w:val="001B4C8F"/>
    <w:rsid w:val="001B5232"/>
    <w:rsid w:val="001B6FFC"/>
    <w:rsid w:val="001B72C7"/>
    <w:rsid w:val="001C109B"/>
    <w:rsid w:val="001C1C00"/>
    <w:rsid w:val="001C1C5D"/>
    <w:rsid w:val="001C2409"/>
    <w:rsid w:val="001C4413"/>
    <w:rsid w:val="001C498D"/>
    <w:rsid w:val="001C4AFD"/>
    <w:rsid w:val="001C50A0"/>
    <w:rsid w:val="001C5167"/>
    <w:rsid w:val="001C55A0"/>
    <w:rsid w:val="001C5FD5"/>
    <w:rsid w:val="001C6072"/>
    <w:rsid w:val="001C61FE"/>
    <w:rsid w:val="001C6E21"/>
    <w:rsid w:val="001C7176"/>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835"/>
    <w:rsid w:val="001F0F10"/>
    <w:rsid w:val="001F23D0"/>
    <w:rsid w:val="001F244B"/>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6C11"/>
    <w:rsid w:val="0020721A"/>
    <w:rsid w:val="002077DB"/>
    <w:rsid w:val="00207EA9"/>
    <w:rsid w:val="00210959"/>
    <w:rsid w:val="00211DE1"/>
    <w:rsid w:val="00212062"/>
    <w:rsid w:val="00213310"/>
    <w:rsid w:val="002134FD"/>
    <w:rsid w:val="002135A1"/>
    <w:rsid w:val="002140F4"/>
    <w:rsid w:val="0021437E"/>
    <w:rsid w:val="0021440B"/>
    <w:rsid w:val="0021446F"/>
    <w:rsid w:val="00214BEE"/>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3EB9"/>
    <w:rsid w:val="002243D0"/>
    <w:rsid w:val="002244E4"/>
    <w:rsid w:val="00224DC4"/>
    <w:rsid w:val="002257C8"/>
    <w:rsid w:val="00225F86"/>
    <w:rsid w:val="00226F8F"/>
    <w:rsid w:val="002277CB"/>
    <w:rsid w:val="002303E5"/>
    <w:rsid w:val="00231525"/>
    <w:rsid w:val="002326EC"/>
    <w:rsid w:val="00232BF5"/>
    <w:rsid w:val="002338A0"/>
    <w:rsid w:val="00233FF2"/>
    <w:rsid w:val="002341EB"/>
    <w:rsid w:val="002346E7"/>
    <w:rsid w:val="00235900"/>
    <w:rsid w:val="00235A26"/>
    <w:rsid w:val="00235ADF"/>
    <w:rsid w:val="00235FEF"/>
    <w:rsid w:val="00236E37"/>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30B"/>
    <w:rsid w:val="00293574"/>
    <w:rsid w:val="00294324"/>
    <w:rsid w:val="002946D4"/>
    <w:rsid w:val="002947C0"/>
    <w:rsid w:val="002965CE"/>
    <w:rsid w:val="00296EC3"/>
    <w:rsid w:val="002972D2"/>
    <w:rsid w:val="00297405"/>
    <w:rsid w:val="002A02BE"/>
    <w:rsid w:val="002A0A3B"/>
    <w:rsid w:val="002A0DB7"/>
    <w:rsid w:val="002A0F12"/>
    <w:rsid w:val="002A1602"/>
    <w:rsid w:val="002A1A1C"/>
    <w:rsid w:val="002A245D"/>
    <w:rsid w:val="002A3CC2"/>
    <w:rsid w:val="002A48D2"/>
    <w:rsid w:val="002A529C"/>
    <w:rsid w:val="002A58FA"/>
    <w:rsid w:val="002A6578"/>
    <w:rsid w:val="002A6B25"/>
    <w:rsid w:val="002A6B4B"/>
    <w:rsid w:val="002A6CA0"/>
    <w:rsid w:val="002A70D8"/>
    <w:rsid w:val="002B0460"/>
    <w:rsid w:val="002B06CF"/>
    <w:rsid w:val="002B07EA"/>
    <w:rsid w:val="002B0B5F"/>
    <w:rsid w:val="002B0F7E"/>
    <w:rsid w:val="002B101E"/>
    <w:rsid w:val="002B1581"/>
    <w:rsid w:val="002B306F"/>
    <w:rsid w:val="002B3172"/>
    <w:rsid w:val="002B3D6C"/>
    <w:rsid w:val="002B4271"/>
    <w:rsid w:val="002B6A94"/>
    <w:rsid w:val="002B751E"/>
    <w:rsid w:val="002B7A9E"/>
    <w:rsid w:val="002B7F07"/>
    <w:rsid w:val="002B7FDB"/>
    <w:rsid w:val="002C0682"/>
    <w:rsid w:val="002C1370"/>
    <w:rsid w:val="002C1498"/>
    <w:rsid w:val="002C1864"/>
    <w:rsid w:val="002C20ED"/>
    <w:rsid w:val="002C4044"/>
    <w:rsid w:val="002C4DE3"/>
    <w:rsid w:val="002C554A"/>
    <w:rsid w:val="002C56FC"/>
    <w:rsid w:val="002C5C53"/>
    <w:rsid w:val="002C6509"/>
    <w:rsid w:val="002C674A"/>
    <w:rsid w:val="002C6CE0"/>
    <w:rsid w:val="002C7085"/>
    <w:rsid w:val="002C7217"/>
    <w:rsid w:val="002D01E9"/>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40E5"/>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980"/>
    <w:rsid w:val="00322EB1"/>
    <w:rsid w:val="00323534"/>
    <w:rsid w:val="003242E2"/>
    <w:rsid w:val="003254F4"/>
    <w:rsid w:val="00325919"/>
    <w:rsid w:val="003262EA"/>
    <w:rsid w:val="0032667A"/>
    <w:rsid w:val="0032670A"/>
    <w:rsid w:val="00326990"/>
    <w:rsid w:val="00327428"/>
    <w:rsid w:val="00327861"/>
    <w:rsid w:val="00327C29"/>
    <w:rsid w:val="00327D2C"/>
    <w:rsid w:val="00330E29"/>
    <w:rsid w:val="003319A7"/>
    <w:rsid w:val="00332104"/>
    <w:rsid w:val="00332261"/>
    <w:rsid w:val="0033231E"/>
    <w:rsid w:val="0033351E"/>
    <w:rsid w:val="00333878"/>
    <w:rsid w:val="00333FEE"/>
    <w:rsid w:val="00334EB0"/>
    <w:rsid w:val="003357AB"/>
    <w:rsid w:val="003363E7"/>
    <w:rsid w:val="003364EB"/>
    <w:rsid w:val="00336990"/>
    <w:rsid w:val="0034083D"/>
    <w:rsid w:val="003409BE"/>
    <w:rsid w:val="00340B83"/>
    <w:rsid w:val="00341929"/>
    <w:rsid w:val="00341F47"/>
    <w:rsid w:val="00342365"/>
    <w:rsid w:val="00343663"/>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57C14"/>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5A3"/>
    <w:rsid w:val="00367AE6"/>
    <w:rsid w:val="0037016F"/>
    <w:rsid w:val="00370374"/>
    <w:rsid w:val="00371901"/>
    <w:rsid w:val="00372A21"/>
    <w:rsid w:val="00372FCD"/>
    <w:rsid w:val="003732B5"/>
    <w:rsid w:val="0037333D"/>
    <w:rsid w:val="00374540"/>
    <w:rsid w:val="003753D0"/>
    <w:rsid w:val="003756FF"/>
    <w:rsid w:val="0037580F"/>
    <w:rsid w:val="0037664E"/>
    <w:rsid w:val="003777A6"/>
    <w:rsid w:val="00377D50"/>
    <w:rsid w:val="00377DA3"/>
    <w:rsid w:val="00380B92"/>
    <w:rsid w:val="00381B05"/>
    <w:rsid w:val="00381B16"/>
    <w:rsid w:val="0038248C"/>
    <w:rsid w:val="00382C29"/>
    <w:rsid w:val="00382C85"/>
    <w:rsid w:val="00382D5A"/>
    <w:rsid w:val="0038309E"/>
    <w:rsid w:val="0038360C"/>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06A4"/>
    <w:rsid w:val="003A2056"/>
    <w:rsid w:val="003A4B3A"/>
    <w:rsid w:val="003A4F93"/>
    <w:rsid w:val="003A5707"/>
    <w:rsid w:val="003A6459"/>
    <w:rsid w:val="003A7860"/>
    <w:rsid w:val="003A796A"/>
    <w:rsid w:val="003A7993"/>
    <w:rsid w:val="003A7B22"/>
    <w:rsid w:val="003B009E"/>
    <w:rsid w:val="003B1472"/>
    <w:rsid w:val="003B1A5F"/>
    <w:rsid w:val="003B1D0F"/>
    <w:rsid w:val="003B282B"/>
    <w:rsid w:val="003B2B19"/>
    <w:rsid w:val="003B4BC1"/>
    <w:rsid w:val="003B5130"/>
    <w:rsid w:val="003B5A8C"/>
    <w:rsid w:val="003B5C47"/>
    <w:rsid w:val="003B6158"/>
    <w:rsid w:val="003B7DE9"/>
    <w:rsid w:val="003C1EA0"/>
    <w:rsid w:val="003C2846"/>
    <w:rsid w:val="003C2DBA"/>
    <w:rsid w:val="003C2F46"/>
    <w:rsid w:val="003C3B92"/>
    <w:rsid w:val="003C3EB1"/>
    <w:rsid w:val="003C47E1"/>
    <w:rsid w:val="003C4CD4"/>
    <w:rsid w:val="003C66DD"/>
    <w:rsid w:val="003C6A3B"/>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B70"/>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E12"/>
    <w:rsid w:val="004507D8"/>
    <w:rsid w:val="00451431"/>
    <w:rsid w:val="004516EC"/>
    <w:rsid w:val="00452B20"/>
    <w:rsid w:val="00453D7B"/>
    <w:rsid w:val="00453EE5"/>
    <w:rsid w:val="004548ED"/>
    <w:rsid w:val="00454A31"/>
    <w:rsid w:val="00456003"/>
    <w:rsid w:val="00456A47"/>
    <w:rsid w:val="0045790D"/>
    <w:rsid w:val="00457BC4"/>
    <w:rsid w:val="00457BE6"/>
    <w:rsid w:val="00460001"/>
    <w:rsid w:val="0046058E"/>
    <w:rsid w:val="00460F4A"/>
    <w:rsid w:val="00460F61"/>
    <w:rsid w:val="0046197A"/>
    <w:rsid w:val="00461A9E"/>
    <w:rsid w:val="00462FA2"/>
    <w:rsid w:val="00464DEE"/>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35"/>
    <w:rsid w:val="00482C95"/>
    <w:rsid w:val="00483550"/>
    <w:rsid w:val="004837DF"/>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0E5"/>
    <w:rsid w:val="00495ADE"/>
    <w:rsid w:val="0049611C"/>
    <w:rsid w:val="00497D66"/>
    <w:rsid w:val="004A0605"/>
    <w:rsid w:val="004A0803"/>
    <w:rsid w:val="004A0F44"/>
    <w:rsid w:val="004A23E2"/>
    <w:rsid w:val="004A261A"/>
    <w:rsid w:val="004A36A8"/>
    <w:rsid w:val="004A37EB"/>
    <w:rsid w:val="004A3A2D"/>
    <w:rsid w:val="004A3C39"/>
    <w:rsid w:val="004A3CCF"/>
    <w:rsid w:val="004A434C"/>
    <w:rsid w:val="004A476E"/>
    <w:rsid w:val="004A5096"/>
    <w:rsid w:val="004A50A0"/>
    <w:rsid w:val="004A596E"/>
    <w:rsid w:val="004A5DC0"/>
    <w:rsid w:val="004A603F"/>
    <w:rsid w:val="004A64E5"/>
    <w:rsid w:val="004A6AB4"/>
    <w:rsid w:val="004A7239"/>
    <w:rsid w:val="004A75B0"/>
    <w:rsid w:val="004A78CD"/>
    <w:rsid w:val="004A7A22"/>
    <w:rsid w:val="004B04D5"/>
    <w:rsid w:val="004B0D3E"/>
    <w:rsid w:val="004B0F4B"/>
    <w:rsid w:val="004B15BB"/>
    <w:rsid w:val="004B1639"/>
    <w:rsid w:val="004B1EDB"/>
    <w:rsid w:val="004B2869"/>
    <w:rsid w:val="004B2C1C"/>
    <w:rsid w:val="004B384B"/>
    <w:rsid w:val="004B393A"/>
    <w:rsid w:val="004B3ECE"/>
    <w:rsid w:val="004B3F99"/>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EEE"/>
    <w:rsid w:val="004E407D"/>
    <w:rsid w:val="004E4FB7"/>
    <w:rsid w:val="004E563C"/>
    <w:rsid w:val="004E69C5"/>
    <w:rsid w:val="004E6C9B"/>
    <w:rsid w:val="004E6FA5"/>
    <w:rsid w:val="004F0A1D"/>
    <w:rsid w:val="004F0A7C"/>
    <w:rsid w:val="004F1A5E"/>
    <w:rsid w:val="004F2E2A"/>
    <w:rsid w:val="004F34FF"/>
    <w:rsid w:val="004F37F3"/>
    <w:rsid w:val="004F3F44"/>
    <w:rsid w:val="004F457C"/>
    <w:rsid w:val="004F46AD"/>
    <w:rsid w:val="004F4C56"/>
    <w:rsid w:val="004F4F14"/>
    <w:rsid w:val="004F5885"/>
    <w:rsid w:val="004F5DCE"/>
    <w:rsid w:val="004F6DE0"/>
    <w:rsid w:val="004F71F1"/>
    <w:rsid w:val="004F7DE7"/>
    <w:rsid w:val="004F7DFB"/>
    <w:rsid w:val="00501602"/>
    <w:rsid w:val="00501934"/>
    <w:rsid w:val="00501EDE"/>
    <w:rsid w:val="00502535"/>
    <w:rsid w:val="005026A9"/>
    <w:rsid w:val="005036A0"/>
    <w:rsid w:val="005038FC"/>
    <w:rsid w:val="00503FB8"/>
    <w:rsid w:val="00504015"/>
    <w:rsid w:val="00504A89"/>
    <w:rsid w:val="00504AA5"/>
    <w:rsid w:val="00504B53"/>
    <w:rsid w:val="00504BD4"/>
    <w:rsid w:val="0050562E"/>
    <w:rsid w:val="005057A5"/>
    <w:rsid w:val="00505BEF"/>
    <w:rsid w:val="0050618F"/>
    <w:rsid w:val="00507F6B"/>
    <w:rsid w:val="00511426"/>
    <w:rsid w:val="00511573"/>
    <w:rsid w:val="00512353"/>
    <w:rsid w:val="00512508"/>
    <w:rsid w:val="00513C29"/>
    <w:rsid w:val="00513FB7"/>
    <w:rsid w:val="00514A01"/>
    <w:rsid w:val="00515A3D"/>
    <w:rsid w:val="00515A5C"/>
    <w:rsid w:val="005166CA"/>
    <w:rsid w:val="00516920"/>
    <w:rsid w:val="00516AC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1C1C"/>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1D98"/>
    <w:rsid w:val="00542E88"/>
    <w:rsid w:val="00544D46"/>
    <w:rsid w:val="00545584"/>
    <w:rsid w:val="005462B1"/>
    <w:rsid w:val="0054721E"/>
    <w:rsid w:val="00547DC8"/>
    <w:rsid w:val="00552A6C"/>
    <w:rsid w:val="00552AD2"/>
    <w:rsid w:val="005539ED"/>
    <w:rsid w:val="00553C00"/>
    <w:rsid w:val="00554C8D"/>
    <w:rsid w:val="005552A9"/>
    <w:rsid w:val="005553FE"/>
    <w:rsid w:val="005555FB"/>
    <w:rsid w:val="00556A6F"/>
    <w:rsid w:val="005570B0"/>
    <w:rsid w:val="0055710E"/>
    <w:rsid w:val="00560433"/>
    <w:rsid w:val="00560464"/>
    <w:rsid w:val="00560623"/>
    <w:rsid w:val="0056090D"/>
    <w:rsid w:val="0056092F"/>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6F3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760F0"/>
    <w:rsid w:val="00576FB2"/>
    <w:rsid w:val="00580455"/>
    <w:rsid w:val="005808CA"/>
    <w:rsid w:val="0058115C"/>
    <w:rsid w:val="0058173B"/>
    <w:rsid w:val="005820B6"/>
    <w:rsid w:val="00582153"/>
    <w:rsid w:val="005828B5"/>
    <w:rsid w:val="00582B42"/>
    <w:rsid w:val="00583227"/>
    <w:rsid w:val="005837FD"/>
    <w:rsid w:val="005843B5"/>
    <w:rsid w:val="00584C74"/>
    <w:rsid w:val="00585601"/>
    <w:rsid w:val="0058589F"/>
    <w:rsid w:val="005858A3"/>
    <w:rsid w:val="0058593A"/>
    <w:rsid w:val="00585FFF"/>
    <w:rsid w:val="0058649E"/>
    <w:rsid w:val="0058662F"/>
    <w:rsid w:val="0058694F"/>
    <w:rsid w:val="00586ED1"/>
    <w:rsid w:val="005878D0"/>
    <w:rsid w:val="0059101B"/>
    <w:rsid w:val="00592474"/>
    <w:rsid w:val="0059286F"/>
    <w:rsid w:val="00592BC7"/>
    <w:rsid w:val="00592F54"/>
    <w:rsid w:val="00593E99"/>
    <w:rsid w:val="00593EBB"/>
    <w:rsid w:val="00596960"/>
    <w:rsid w:val="005970A9"/>
    <w:rsid w:val="00597579"/>
    <w:rsid w:val="00597BF2"/>
    <w:rsid w:val="005A015C"/>
    <w:rsid w:val="005A04AA"/>
    <w:rsid w:val="005A09BB"/>
    <w:rsid w:val="005A0E43"/>
    <w:rsid w:val="005A175C"/>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425D"/>
    <w:rsid w:val="005B43EB"/>
    <w:rsid w:val="005B496D"/>
    <w:rsid w:val="005B52C4"/>
    <w:rsid w:val="005C026B"/>
    <w:rsid w:val="005C18A4"/>
    <w:rsid w:val="005C194C"/>
    <w:rsid w:val="005C2667"/>
    <w:rsid w:val="005C295A"/>
    <w:rsid w:val="005C2C21"/>
    <w:rsid w:val="005C3B4F"/>
    <w:rsid w:val="005C427C"/>
    <w:rsid w:val="005C44D1"/>
    <w:rsid w:val="005C465D"/>
    <w:rsid w:val="005C52A6"/>
    <w:rsid w:val="005C6812"/>
    <w:rsid w:val="005C6D2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5F79E2"/>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4A5"/>
    <w:rsid w:val="00626803"/>
    <w:rsid w:val="00626EB9"/>
    <w:rsid w:val="006270CD"/>
    <w:rsid w:val="006278F4"/>
    <w:rsid w:val="00627B98"/>
    <w:rsid w:val="00631305"/>
    <w:rsid w:val="00631DC7"/>
    <w:rsid w:val="00631F71"/>
    <w:rsid w:val="006328A6"/>
    <w:rsid w:val="0063336C"/>
    <w:rsid w:val="00633471"/>
    <w:rsid w:val="00633B1C"/>
    <w:rsid w:val="00633C00"/>
    <w:rsid w:val="0063463C"/>
    <w:rsid w:val="006349A7"/>
    <w:rsid w:val="00634C01"/>
    <w:rsid w:val="00634DD7"/>
    <w:rsid w:val="00634EA3"/>
    <w:rsid w:val="00635717"/>
    <w:rsid w:val="00635DC2"/>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44E"/>
    <w:rsid w:val="00647646"/>
    <w:rsid w:val="0065036F"/>
    <w:rsid w:val="00650ADD"/>
    <w:rsid w:val="00651CAA"/>
    <w:rsid w:val="00652357"/>
    <w:rsid w:val="006525F5"/>
    <w:rsid w:val="00652D56"/>
    <w:rsid w:val="00653B49"/>
    <w:rsid w:val="0065475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1EB"/>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1D0C"/>
    <w:rsid w:val="0069283D"/>
    <w:rsid w:val="00692A50"/>
    <w:rsid w:val="00693B34"/>
    <w:rsid w:val="00694B18"/>
    <w:rsid w:val="00694B30"/>
    <w:rsid w:val="00694B8A"/>
    <w:rsid w:val="00694C2D"/>
    <w:rsid w:val="00696693"/>
    <w:rsid w:val="00697304"/>
    <w:rsid w:val="006A1D42"/>
    <w:rsid w:val="006A29D6"/>
    <w:rsid w:val="006A2EC3"/>
    <w:rsid w:val="006A37C9"/>
    <w:rsid w:val="006A3B66"/>
    <w:rsid w:val="006A3CFD"/>
    <w:rsid w:val="006A3F40"/>
    <w:rsid w:val="006A790B"/>
    <w:rsid w:val="006A7B7D"/>
    <w:rsid w:val="006B01F7"/>
    <w:rsid w:val="006B33B8"/>
    <w:rsid w:val="006B34B3"/>
    <w:rsid w:val="006B371D"/>
    <w:rsid w:val="006B4156"/>
    <w:rsid w:val="006B54A0"/>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5EAF"/>
    <w:rsid w:val="006C7B2C"/>
    <w:rsid w:val="006D00F3"/>
    <w:rsid w:val="006D0FA8"/>
    <w:rsid w:val="006D1263"/>
    <w:rsid w:val="006D171C"/>
    <w:rsid w:val="006D21AA"/>
    <w:rsid w:val="006D23BA"/>
    <w:rsid w:val="006D24CA"/>
    <w:rsid w:val="006D341B"/>
    <w:rsid w:val="006D3542"/>
    <w:rsid w:val="006D3D2F"/>
    <w:rsid w:val="006D4EA6"/>
    <w:rsid w:val="006D618E"/>
    <w:rsid w:val="006D62DA"/>
    <w:rsid w:val="006D662E"/>
    <w:rsid w:val="006D66E8"/>
    <w:rsid w:val="006D6E11"/>
    <w:rsid w:val="006D6FA0"/>
    <w:rsid w:val="006E0743"/>
    <w:rsid w:val="006E08C9"/>
    <w:rsid w:val="006E09C3"/>
    <w:rsid w:val="006E1A49"/>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07EA6"/>
    <w:rsid w:val="00711184"/>
    <w:rsid w:val="00711A79"/>
    <w:rsid w:val="007125BE"/>
    <w:rsid w:val="0071294F"/>
    <w:rsid w:val="00712EA4"/>
    <w:rsid w:val="00712F85"/>
    <w:rsid w:val="00714B4F"/>
    <w:rsid w:val="007150E9"/>
    <w:rsid w:val="00715ACF"/>
    <w:rsid w:val="00715B09"/>
    <w:rsid w:val="007161D0"/>
    <w:rsid w:val="007162FB"/>
    <w:rsid w:val="00716EF1"/>
    <w:rsid w:val="007173D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1938"/>
    <w:rsid w:val="00752352"/>
    <w:rsid w:val="007526DB"/>
    <w:rsid w:val="0075276C"/>
    <w:rsid w:val="00752956"/>
    <w:rsid w:val="00753B12"/>
    <w:rsid w:val="00753CC1"/>
    <w:rsid w:val="007547EA"/>
    <w:rsid w:val="00754A73"/>
    <w:rsid w:val="007553B3"/>
    <w:rsid w:val="00755454"/>
    <w:rsid w:val="0075560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303"/>
    <w:rsid w:val="00781D02"/>
    <w:rsid w:val="007828E3"/>
    <w:rsid w:val="00782BB0"/>
    <w:rsid w:val="007831D6"/>
    <w:rsid w:val="0078338D"/>
    <w:rsid w:val="00783C32"/>
    <w:rsid w:val="007850AB"/>
    <w:rsid w:val="00785111"/>
    <w:rsid w:val="00785A2E"/>
    <w:rsid w:val="007860BA"/>
    <w:rsid w:val="00786EFB"/>
    <w:rsid w:val="007876BF"/>
    <w:rsid w:val="00787FE9"/>
    <w:rsid w:val="007908C6"/>
    <w:rsid w:val="007912A7"/>
    <w:rsid w:val="007924F2"/>
    <w:rsid w:val="007939D1"/>
    <w:rsid w:val="00793AEA"/>
    <w:rsid w:val="007944F5"/>
    <w:rsid w:val="007947EE"/>
    <w:rsid w:val="00794B0B"/>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2601"/>
    <w:rsid w:val="007B3C6A"/>
    <w:rsid w:val="007B41A6"/>
    <w:rsid w:val="007B4652"/>
    <w:rsid w:val="007B4FD7"/>
    <w:rsid w:val="007B5F56"/>
    <w:rsid w:val="007B7B09"/>
    <w:rsid w:val="007B7C01"/>
    <w:rsid w:val="007C10AA"/>
    <w:rsid w:val="007C1B6C"/>
    <w:rsid w:val="007C29E1"/>
    <w:rsid w:val="007C2CEC"/>
    <w:rsid w:val="007C3391"/>
    <w:rsid w:val="007C4D57"/>
    <w:rsid w:val="007C4F4F"/>
    <w:rsid w:val="007C55AD"/>
    <w:rsid w:val="007C5719"/>
    <w:rsid w:val="007C5812"/>
    <w:rsid w:val="007C70BD"/>
    <w:rsid w:val="007C74F4"/>
    <w:rsid w:val="007D1C72"/>
    <w:rsid w:val="007D1E64"/>
    <w:rsid w:val="007D223D"/>
    <w:rsid w:val="007D3BE5"/>
    <w:rsid w:val="007D4B90"/>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2D56"/>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072E"/>
    <w:rsid w:val="008011FC"/>
    <w:rsid w:val="008014ED"/>
    <w:rsid w:val="00801D9D"/>
    <w:rsid w:val="00801FD8"/>
    <w:rsid w:val="00802741"/>
    <w:rsid w:val="00802917"/>
    <w:rsid w:val="00802E1E"/>
    <w:rsid w:val="00804124"/>
    <w:rsid w:val="0080421C"/>
    <w:rsid w:val="00804957"/>
    <w:rsid w:val="008049E4"/>
    <w:rsid w:val="00804B0A"/>
    <w:rsid w:val="00804D61"/>
    <w:rsid w:val="00804E0C"/>
    <w:rsid w:val="00807556"/>
    <w:rsid w:val="0080765B"/>
    <w:rsid w:val="00807D21"/>
    <w:rsid w:val="008104B8"/>
    <w:rsid w:val="00810748"/>
    <w:rsid w:val="008109CA"/>
    <w:rsid w:val="0081176A"/>
    <w:rsid w:val="00812036"/>
    <w:rsid w:val="00813D9B"/>
    <w:rsid w:val="008140EC"/>
    <w:rsid w:val="00814A2D"/>
    <w:rsid w:val="00817095"/>
    <w:rsid w:val="008171AA"/>
    <w:rsid w:val="0082041F"/>
    <w:rsid w:val="00821A95"/>
    <w:rsid w:val="00822077"/>
    <w:rsid w:val="00822A02"/>
    <w:rsid w:val="008231A9"/>
    <w:rsid w:val="0082357B"/>
    <w:rsid w:val="0082395F"/>
    <w:rsid w:val="00823B22"/>
    <w:rsid w:val="008254BC"/>
    <w:rsid w:val="0082692D"/>
    <w:rsid w:val="00826FDC"/>
    <w:rsid w:val="008308BE"/>
    <w:rsid w:val="00830CE5"/>
    <w:rsid w:val="008313C2"/>
    <w:rsid w:val="00832520"/>
    <w:rsid w:val="00832E80"/>
    <w:rsid w:val="00832EB5"/>
    <w:rsid w:val="00832F22"/>
    <w:rsid w:val="0083565A"/>
    <w:rsid w:val="00835A0B"/>
    <w:rsid w:val="008409AE"/>
    <w:rsid w:val="00840EA7"/>
    <w:rsid w:val="008417EA"/>
    <w:rsid w:val="008428E1"/>
    <w:rsid w:val="00842F87"/>
    <w:rsid w:val="008432CC"/>
    <w:rsid w:val="00843CE4"/>
    <w:rsid w:val="0084425F"/>
    <w:rsid w:val="00844E79"/>
    <w:rsid w:val="008465D2"/>
    <w:rsid w:val="00850792"/>
    <w:rsid w:val="0085298F"/>
    <w:rsid w:val="00852FA8"/>
    <w:rsid w:val="00853AF4"/>
    <w:rsid w:val="00853DD0"/>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3FC3"/>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98E"/>
    <w:rsid w:val="00897A39"/>
    <w:rsid w:val="00897BD4"/>
    <w:rsid w:val="008A08A4"/>
    <w:rsid w:val="008A15EC"/>
    <w:rsid w:val="008A1DCF"/>
    <w:rsid w:val="008A4526"/>
    <w:rsid w:val="008A4A75"/>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26C"/>
    <w:rsid w:val="008C07A0"/>
    <w:rsid w:val="008C0ECB"/>
    <w:rsid w:val="008C1818"/>
    <w:rsid w:val="008C30A0"/>
    <w:rsid w:val="008C3173"/>
    <w:rsid w:val="008C3DF1"/>
    <w:rsid w:val="008C42FB"/>
    <w:rsid w:val="008C45B6"/>
    <w:rsid w:val="008C54D9"/>
    <w:rsid w:val="008C5E4C"/>
    <w:rsid w:val="008C71A3"/>
    <w:rsid w:val="008D0F23"/>
    <w:rsid w:val="008D1B34"/>
    <w:rsid w:val="008D2B93"/>
    <w:rsid w:val="008D31AD"/>
    <w:rsid w:val="008D3802"/>
    <w:rsid w:val="008D57F5"/>
    <w:rsid w:val="008D5871"/>
    <w:rsid w:val="008D5BCA"/>
    <w:rsid w:val="008D6084"/>
    <w:rsid w:val="008E07BA"/>
    <w:rsid w:val="008E0BDD"/>
    <w:rsid w:val="008E0F0D"/>
    <w:rsid w:val="008E1130"/>
    <w:rsid w:val="008E160B"/>
    <w:rsid w:val="008E170C"/>
    <w:rsid w:val="008E1A98"/>
    <w:rsid w:val="008E1FB5"/>
    <w:rsid w:val="008E24FB"/>
    <w:rsid w:val="008E3173"/>
    <w:rsid w:val="008E40F9"/>
    <w:rsid w:val="008E4479"/>
    <w:rsid w:val="008E4958"/>
    <w:rsid w:val="008E510A"/>
    <w:rsid w:val="008E6B75"/>
    <w:rsid w:val="008E6C61"/>
    <w:rsid w:val="008E7F9D"/>
    <w:rsid w:val="008F05DE"/>
    <w:rsid w:val="008F09AE"/>
    <w:rsid w:val="008F0AC3"/>
    <w:rsid w:val="008F0DAD"/>
    <w:rsid w:val="008F1417"/>
    <w:rsid w:val="008F1DC5"/>
    <w:rsid w:val="008F1F8E"/>
    <w:rsid w:val="008F2143"/>
    <w:rsid w:val="008F2299"/>
    <w:rsid w:val="008F2441"/>
    <w:rsid w:val="008F28C0"/>
    <w:rsid w:val="008F2AFB"/>
    <w:rsid w:val="008F4B96"/>
    <w:rsid w:val="008F53E8"/>
    <w:rsid w:val="008F58D0"/>
    <w:rsid w:val="008F5F59"/>
    <w:rsid w:val="008F640B"/>
    <w:rsid w:val="008F79F2"/>
    <w:rsid w:val="008F7B57"/>
    <w:rsid w:val="00901A4A"/>
    <w:rsid w:val="0090242B"/>
    <w:rsid w:val="00903866"/>
    <w:rsid w:val="009050C0"/>
    <w:rsid w:val="0090528C"/>
    <w:rsid w:val="00905466"/>
    <w:rsid w:val="00905918"/>
    <w:rsid w:val="00905D51"/>
    <w:rsid w:val="00905F65"/>
    <w:rsid w:val="00906734"/>
    <w:rsid w:val="00906ED2"/>
    <w:rsid w:val="00907D99"/>
    <w:rsid w:val="00910119"/>
    <w:rsid w:val="0091015A"/>
    <w:rsid w:val="00910967"/>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B04"/>
    <w:rsid w:val="009255FA"/>
    <w:rsid w:val="00925647"/>
    <w:rsid w:val="0092652E"/>
    <w:rsid w:val="0092691D"/>
    <w:rsid w:val="00927612"/>
    <w:rsid w:val="00927737"/>
    <w:rsid w:val="00930EA3"/>
    <w:rsid w:val="00930F9F"/>
    <w:rsid w:val="00931D1D"/>
    <w:rsid w:val="00931D32"/>
    <w:rsid w:val="009323E1"/>
    <w:rsid w:val="009324A8"/>
    <w:rsid w:val="00932532"/>
    <w:rsid w:val="00934A46"/>
    <w:rsid w:val="00935BC3"/>
    <w:rsid w:val="00936B25"/>
    <w:rsid w:val="00937266"/>
    <w:rsid w:val="00940AA9"/>
    <w:rsid w:val="00941264"/>
    <w:rsid w:val="0094296E"/>
    <w:rsid w:val="0094298C"/>
    <w:rsid w:val="0094553A"/>
    <w:rsid w:val="00947FC1"/>
    <w:rsid w:val="009517E1"/>
    <w:rsid w:val="00951B46"/>
    <w:rsid w:val="009533D9"/>
    <w:rsid w:val="0095377B"/>
    <w:rsid w:val="00953D64"/>
    <w:rsid w:val="00953F93"/>
    <w:rsid w:val="009542EA"/>
    <w:rsid w:val="00954B47"/>
    <w:rsid w:val="0095537A"/>
    <w:rsid w:val="00955622"/>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3F74"/>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F49"/>
    <w:rsid w:val="009817FD"/>
    <w:rsid w:val="00981EDA"/>
    <w:rsid w:val="00982365"/>
    <w:rsid w:val="009844BA"/>
    <w:rsid w:val="009857F1"/>
    <w:rsid w:val="00985A7D"/>
    <w:rsid w:val="00985F93"/>
    <w:rsid w:val="00986BF8"/>
    <w:rsid w:val="00986C82"/>
    <w:rsid w:val="009911F3"/>
    <w:rsid w:val="00991319"/>
    <w:rsid w:val="0099311D"/>
    <w:rsid w:val="00993552"/>
    <w:rsid w:val="00993CD7"/>
    <w:rsid w:val="00994865"/>
    <w:rsid w:val="00995A6D"/>
    <w:rsid w:val="00995DAD"/>
    <w:rsid w:val="00995F4D"/>
    <w:rsid w:val="00996267"/>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C0D"/>
    <w:rsid w:val="009B0F2B"/>
    <w:rsid w:val="009B1482"/>
    <w:rsid w:val="009B1B86"/>
    <w:rsid w:val="009B35DC"/>
    <w:rsid w:val="009B3740"/>
    <w:rsid w:val="009B579E"/>
    <w:rsid w:val="009B5866"/>
    <w:rsid w:val="009B5A24"/>
    <w:rsid w:val="009B6153"/>
    <w:rsid w:val="009B6362"/>
    <w:rsid w:val="009B7708"/>
    <w:rsid w:val="009C0A23"/>
    <w:rsid w:val="009C1379"/>
    <w:rsid w:val="009C2E32"/>
    <w:rsid w:val="009C3C50"/>
    <w:rsid w:val="009C4B9D"/>
    <w:rsid w:val="009C4E1E"/>
    <w:rsid w:val="009C595B"/>
    <w:rsid w:val="009C6673"/>
    <w:rsid w:val="009C6CB5"/>
    <w:rsid w:val="009C6CFE"/>
    <w:rsid w:val="009C7BBA"/>
    <w:rsid w:val="009C7D3E"/>
    <w:rsid w:val="009D0B0C"/>
    <w:rsid w:val="009D0C37"/>
    <w:rsid w:val="009D2D63"/>
    <w:rsid w:val="009D60F4"/>
    <w:rsid w:val="009D6686"/>
    <w:rsid w:val="009D6D3D"/>
    <w:rsid w:val="009D7037"/>
    <w:rsid w:val="009D71AB"/>
    <w:rsid w:val="009D72AF"/>
    <w:rsid w:val="009D7595"/>
    <w:rsid w:val="009D7679"/>
    <w:rsid w:val="009D7C0C"/>
    <w:rsid w:val="009D7F0B"/>
    <w:rsid w:val="009E20EB"/>
    <w:rsid w:val="009E489A"/>
    <w:rsid w:val="009E5212"/>
    <w:rsid w:val="009E6C19"/>
    <w:rsid w:val="009E6E2F"/>
    <w:rsid w:val="009F0845"/>
    <w:rsid w:val="009F1EDE"/>
    <w:rsid w:val="009F1F96"/>
    <w:rsid w:val="009F2CEE"/>
    <w:rsid w:val="009F3F1F"/>
    <w:rsid w:val="009F426B"/>
    <w:rsid w:val="009F6192"/>
    <w:rsid w:val="009F62DE"/>
    <w:rsid w:val="009F672D"/>
    <w:rsid w:val="009F6E2E"/>
    <w:rsid w:val="009F7EA7"/>
    <w:rsid w:val="00A000EF"/>
    <w:rsid w:val="00A00395"/>
    <w:rsid w:val="00A00E11"/>
    <w:rsid w:val="00A01B93"/>
    <w:rsid w:val="00A037A5"/>
    <w:rsid w:val="00A04292"/>
    <w:rsid w:val="00A051FE"/>
    <w:rsid w:val="00A05BED"/>
    <w:rsid w:val="00A05C06"/>
    <w:rsid w:val="00A05C6E"/>
    <w:rsid w:val="00A06128"/>
    <w:rsid w:val="00A0687B"/>
    <w:rsid w:val="00A06974"/>
    <w:rsid w:val="00A073B1"/>
    <w:rsid w:val="00A07888"/>
    <w:rsid w:val="00A07A81"/>
    <w:rsid w:val="00A07C10"/>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1A40"/>
    <w:rsid w:val="00A23BE3"/>
    <w:rsid w:val="00A24116"/>
    <w:rsid w:val="00A242BE"/>
    <w:rsid w:val="00A25BB6"/>
    <w:rsid w:val="00A278E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5E92"/>
    <w:rsid w:val="00A46FB9"/>
    <w:rsid w:val="00A47199"/>
    <w:rsid w:val="00A501AC"/>
    <w:rsid w:val="00A503F6"/>
    <w:rsid w:val="00A50452"/>
    <w:rsid w:val="00A508DC"/>
    <w:rsid w:val="00A50B0D"/>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91C"/>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D9"/>
    <w:rsid w:val="00A84CB5"/>
    <w:rsid w:val="00A85D18"/>
    <w:rsid w:val="00A8608E"/>
    <w:rsid w:val="00A86211"/>
    <w:rsid w:val="00A86F9E"/>
    <w:rsid w:val="00A87B90"/>
    <w:rsid w:val="00A87BF7"/>
    <w:rsid w:val="00A9069E"/>
    <w:rsid w:val="00A909D0"/>
    <w:rsid w:val="00A923EA"/>
    <w:rsid w:val="00A93B35"/>
    <w:rsid w:val="00A94105"/>
    <w:rsid w:val="00A946C6"/>
    <w:rsid w:val="00A949FC"/>
    <w:rsid w:val="00A94A0D"/>
    <w:rsid w:val="00A9526B"/>
    <w:rsid w:val="00A96256"/>
    <w:rsid w:val="00A96A09"/>
    <w:rsid w:val="00AA0497"/>
    <w:rsid w:val="00AA0955"/>
    <w:rsid w:val="00AA1E6A"/>
    <w:rsid w:val="00AA2744"/>
    <w:rsid w:val="00AA2ADB"/>
    <w:rsid w:val="00AA3F55"/>
    <w:rsid w:val="00AA46E5"/>
    <w:rsid w:val="00AA46E6"/>
    <w:rsid w:val="00AA4E3C"/>
    <w:rsid w:val="00AA5FEE"/>
    <w:rsid w:val="00AA6624"/>
    <w:rsid w:val="00AA6E94"/>
    <w:rsid w:val="00AA7BC6"/>
    <w:rsid w:val="00AA7D6B"/>
    <w:rsid w:val="00AB03C3"/>
    <w:rsid w:val="00AB060C"/>
    <w:rsid w:val="00AB07BF"/>
    <w:rsid w:val="00AB1987"/>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C7D09"/>
    <w:rsid w:val="00AD04FE"/>
    <w:rsid w:val="00AD1327"/>
    <w:rsid w:val="00AD15D0"/>
    <w:rsid w:val="00AD172C"/>
    <w:rsid w:val="00AD1F50"/>
    <w:rsid w:val="00AD5212"/>
    <w:rsid w:val="00AD5E4E"/>
    <w:rsid w:val="00AD6657"/>
    <w:rsid w:val="00AD6ADD"/>
    <w:rsid w:val="00AD703C"/>
    <w:rsid w:val="00AE0E05"/>
    <w:rsid w:val="00AE0E33"/>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E7535"/>
    <w:rsid w:val="00AF0414"/>
    <w:rsid w:val="00AF0473"/>
    <w:rsid w:val="00AF0948"/>
    <w:rsid w:val="00AF0E8F"/>
    <w:rsid w:val="00AF0FF1"/>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36B00"/>
    <w:rsid w:val="00B40FC0"/>
    <w:rsid w:val="00B42A6D"/>
    <w:rsid w:val="00B42F63"/>
    <w:rsid w:val="00B43D43"/>
    <w:rsid w:val="00B45171"/>
    <w:rsid w:val="00B45A1F"/>
    <w:rsid w:val="00B461DF"/>
    <w:rsid w:val="00B4644D"/>
    <w:rsid w:val="00B465F0"/>
    <w:rsid w:val="00B46E48"/>
    <w:rsid w:val="00B47162"/>
    <w:rsid w:val="00B47A98"/>
    <w:rsid w:val="00B47BE3"/>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9C6"/>
    <w:rsid w:val="00B73BA9"/>
    <w:rsid w:val="00B73FA7"/>
    <w:rsid w:val="00B74318"/>
    <w:rsid w:val="00B76A92"/>
    <w:rsid w:val="00B76BCF"/>
    <w:rsid w:val="00B76C81"/>
    <w:rsid w:val="00B77B78"/>
    <w:rsid w:val="00B8012F"/>
    <w:rsid w:val="00B8022C"/>
    <w:rsid w:val="00B80357"/>
    <w:rsid w:val="00B80911"/>
    <w:rsid w:val="00B80AC8"/>
    <w:rsid w:val="00B81929"/>
    <w:rsid w:val="00B81EBC"/>
    <w:rsid w:val="00B81FE6"/>
    <w:rsid w:val="00B8206A"/>
    <w:rsid w:val="00B827C8"/>
    <w:rsid w:val="00B83047"/>
    <w:rsid w:val="00B834A4"/>
    <w:rsid w:val="00B836B0"/>
    <w:rsid w:val="00B84072"/>
    <w:rsid w:val="00B84F18"/>
    <w:rsid w:val="00B853B4"/>
    <w:rsid w:val="00B85409"/>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388"/>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692"/>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1118"/>
    <w:rsid w:val="00BE181E"/>
    <w:rsid w:val="00BE1A32"/>
    <w:rsid w:val="00BE23F2"/>
    <w:rsid w:val="00BE2659"/>
    <w:rsid w:val="00BE28BA"/>
    <w:rsid w:val="00BE2E87"/>
    <w:rsid w:val="00BE38A5"/>
    <w:rsid w:val="00BE3B53"/>
    <w:rsid w:val="00BE3BC7"/>
    <w:rsid w:val="00BE4562"/>
    <w:rsid w:val="00BE4DF3"/>
    <w:rsid w:val="00BE5586"/>
    <w:rsid w:val="00BE5599"/>
    <w:rsid w:val="00BE725B"/>
    <w:rsid w:val="00BE7721"/>
    <w:rsid w:val="00BF094D"/>
    <w:rsid w:val="00BF0BC8"/>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DCE"/>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17F87"/>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5A6E"/>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2BA1"/>
    <w:rsid w:val="00C62D87"/>
    <w:rsid w:val="00C6319D"/>
    <w:rsid w:val="00C631C5"/>
    <w:rsid w:val="00C6390D"/>
    <w:rsid w:val="00C64534"/>
    <w:rsid w:val="00C64859"/>
    <w:rsid w:val="00C65465"/>
    <w:rsid w:val="00C65502"/>
    <w:rsid w:val="00C675EB"/>
    <w:rsid w:val="00C700FE"/>
    <w:rsid w:val="00C72424"/>
    <w:rsid w:val="00C73E8B"/>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7FB"/>
    <w:rsid w:val="00C93D8B"/>
    <w:rsid w:val="00C943F1"/>
    <w:rsid w:val="00C9453F"/>
    <w:rsid w:val="00C95B0D"/>
    <w:rsid w:val="00C95EA6"/>
    <w:rsid w:val="00C960FF"/>
    <w:rsid w:val="00C96369"/>
    <w:rsid w:val="00C96B3F"/>
    <w:rsid w:val="00C96BB1"/>
    <w:rsid w:val="00C9794F"/>
    <w:rsid w:val="00CA0DA0"/>
    <w:rsid w:val="00CA1531"/>
    <w:rsid w:val="00CA156C"/>
    <w:rsid w:val="00CA1C61"/>
    <w:rsid w:val="00CA1FC9"/>
    <w:rsid w:val="00CA22D7"/>
    <w:rsid w:val="00CA273C"/>
    <w:rsid w:val="00CA4298"/>
    <w:rsid w:val="00CA43AA"/>
    <w:rsid w:val="00CA48E0"/>
    <w:rsid w:val="00CA59F7"/>
    <w:rsid w:val="00CA6E68"/>
    <w:rsid w:val="00CA7208"/>
    <w:rsid w:val="00CB04BE"/>
    <w:rsid w:val="00CB1279"/>
    <w:rsid w:val="00CB13DF"/>
    <w:rsid w:val="00CB2D12"/>
    <w:rsid w:val="00CB2E36"/>
    <w:rsid w:val="00CB38E8"/>
    <w:rsid w:val="00CB3CAD"/>
    <w:rsid w:val="00CB4985"/>
    <w:rsid w:val="00CB5614"/>
    <w:rsid w:val="00CB63DB"/>
    <w:rsid w:val="00CB6455"/>
    <w:rsid w:val="00CB677D"/>
    <w:rsid w:val="00CB6D83"/>
    <w:rsid w:val="00CB6FF0"/>
    <w:rsid w:val="00CB7503"/>
    <w:rsid w:val="00CB7F0D"/>
    <w:rsid w:val="00CC0702"/>
    <w:rsid w:val="00CC0EC9"/>
    <w:rsid w:val="00CC132F"/>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5B0"/>
    <w:rsid w:val="00CC6AA8"/>
    <w:rsid w:val="00CC706D"/>
    <w:rsid w:val="00CC76FA"/>
    <w:rsid w:val="00CD03D0"/>
    <w:rsid w:val="00CD04D5"/>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7AB"/>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82"/>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8FC"/>
    <w:rsid w:val="00D31A54"/>
    <w:rsid w:val="00D32E0D"/>
    <w:rsid w:val="00D33412"/>
    <w:rsid w:val="00D34220"/>
    <w:rsid w:val="00D3433D"/>
    <w:rsid w:val="00D345D3"/>
    <w:rsid w:val="00D34B5E"/>
    <w:rsid w:val="00D3537F"/>
    <w:rsid w:val="00D35582"/>
    <w:rsid w:val="00D400AE"/>
    <w:rsid w:val="00D4011A"/>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377"/>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0BE"/>
    <w:rsid w:val="00D6162B"/>
    <w:rsid w:val="00D6178F"/>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3ED5"/>
    <w:rsid w:val="00D84778"/>
    <w:rsid w:val="00D84B3F"/>
    <w:rsid w:val="00D84DC4"/>
    <w:rsid w:val="00D85244"/>
    <w:rsid w:val="00D852E8"/>
    <w:rsid w:val="00D8615B"/>
    <w:rsid w:val="00D86C92"/>
    <w:rsid w:val="00D86F3B"/>
    <w:rsid w:val="00D8714F"/>
    <w:rsid w:val="00D901FE"/>
    <w:rsid w:val="00D9125F"/>
    <w:rsid w:val="00D91451"/>
    <w:rsid w:val="00D9169B"/>
    <w:rsid w:val="00D91B68"/>
    <w:rsid w:val="00D926EB"/>
    <w:rsid w:val="00D94985"/>
    <w:rsid w:val="00D95441"/>
    <w:rsid w:val="00D956AE"/>
    <w:rsid w:val="00D95A0D"/>
    <w:rsid w:val="00D95E62"/>
    <w:rsid w:val="00D97119"/>
    <w:rsid w:val="00D974E4"/>
    <w:rsid w:val="00D976C1"/>
    <w:rsid w:val="00D97A46"/>
    <w:rsid w:val="00D97B49"/>
    <w:rsid w:val="00DA05D5"/>
    <w:rsid w:val="00DA0924"/>
    <w:rsid w:val="00DA29A1"/>
    <w:rsid w:val="00DA2BE1"/>
    <w:rsid w:val="00DA420D"/>
    <w:rsid w:val="00DA52B5"/>
    <w:rsid w:val="00DA5F0A"/>
    <w:rsid w:val="00DA640C"/>
    <w:rsid w:val="00DA6BAC"/>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1B0C"/>
    <w:rsid w:val="00DC2163"/>
    <w:rsid w:val="00DC2997"/>
    <w:rsid w:val="00DC3267"/>
    <w:rsid w:val="00DC34C2"/>
    <w:rsid w:val="00DC46DA"/>
    <w:rsid w:val="00DC4F07"/>
    <w:rsid w:val="00DC500B"/>
    <w:rsid w:val="00DC54A4"/>
    <w:rsid w:val="00DC5DD6"/>
    <w:rsid w:val="00DC5E7C"/>
    <w:rsid w:val="00DC693A"/>
    <w:rsid w:val="00DC7B0D"/>
    <w:rsid w:val="00DC7CBE"/>
    <w:rsid w:val="00DD11EC"/>
    <w:rsid w:val="00DD1A9A"/>
    <w:rsid w:val="00DD1E79"/>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12F"/>
    <w:rsid w:val="00DE755D"/>
    <w:rsid w:val="00DF14FB"/>
    <w:rsid w:val="00DF5638"/>
    <w:rsid w:val="00DF5A16"/>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5F75"/>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2722"/>
    <w:rsid w:val="00E23842"/>
    <w:rsid w:val="00E24B03"/>
    <w:rsid w:val="00E25668"/>
    <w:rsid w:val="00E25EA1"/>
    <w:rsid w:val="00E25FBE"/>
    <w:rsid w:val="00E26712"/>
    <w:rsid w:val="00E2682A"/>
    <w:rsid w:val="00E27447"/>
    <w:rsid w:val="00E3095F"/>
    <w:rsid w:val="00E30B43"/>
    <w:rsid w:val="00E31359"/>
    <w:rsid w:val="00E31870"/>
    <w:rsid w:val="00E31E60"/>
    <w:rsid w:val="00E31E68"/>
    <w:rsid w:val="00E3262A"/>
    <w:rsid w:val="00E327E1"/>
    <w:rsid w:val="00E328AC"/>
    <w:rsid w:val="00E34ADE"/>
    <w:rsid w:val="00E34E1E"/>
    <w:rsid w:val="00E3574C"/>
    <w:rsid w:val="00E357BB"/>
    <w:rsid w:val="00E3631C"/>
    <w:rsid w:val="00E369D1"/>
    <w:rsid w:val="00E36D92"/>
    <w:rsid w:val="00E36FE9"/>
    <w:rsid w:val="00E37AC2"/>
    <w:rsid w:val="00E37D6E"/>
    <w:rsid w:val="00E37DC9"/>
    <w:rsid w:val="00E37E5D"/>
    <w:rsid w:val="00E37EBA"/>
    <w:rsid w:val="00E40054"/>
    <w:rsid w:val="00E4269F"/>
    <w:rsid w:val="00E43125"/>
    <w:rsid w:val="00E434A7"/>
    <w:rsid w:val="00E43709"/>
    <w:rsid w:val="00E4431D"/>
    <w:rsid w:val="00E445A0"/>
    <w:rsid w:val="00E446A5"/>
    <w:rsid w:val="00E449A7"/>
    <w:rsid w:val="00E45C1A"/>
    <w:rsid w:val="00E4640D"/>
    <w:rsid w:val="00E46738"/>
    <w:rsid w:val="00E46A0A"/>
    <w:rsid w:val="00E47A32"/>
    <w:rsid w:val="00E5021D"/>
    <w:rsid w:val="00E521C7"/>
    <w:rsid w:val="00E525F8"/>
    <w:rsid w:val="00E5278E"/>
    <w:rsid w:val="00E52B34"/>
    <w:rsid w:val="00E54271"/>
    <w:rsid w:val="00E5515A"/>
    <w:rsid w:val="00E552B0"/>
    <w:rsid w:val="00E55E94"/>
    <w:rsid w:val="00E5648B"/>
    <w:rsid w:val="00E56F98"/>
    <w:rsid w:val="00E60126"/>
    <w:rsid w:val="00E61AD9"/>
    <w:rsid w:val="00E6213B"/>
    <w:rsid w:val="00E625E8"/>
    <w:rsid w:val="00E62DE9"/>
    <w:rsid w:val="00E630B7"/>
    <w:rsid w:val="00E634DA"/>
    <w:rsid w:val="00E64AD8"/>
    <w:rsid w:val="00E6537C"/>
    <w:rsid w:val="00E6556D"/>
    <w:rsid w:val="00E6597E"/>
    <w:rsid w:val="00E6610F"/>
    <w:rsid w:val="00E66185"/>
    <w:rsid w:val="00E662CD"/>
    <w:rsid w:val="00E66BBE"/>
    <w:rsid w:val="00E66D52"/>
    <w:rsid w:val="00E670C0"/>
    <w:rsid w:val="00E673E4"/>
    <w:rsid w:val="00E67818"/>
    <w:rsid w:val="00E7019F"/>
    <w:rsid w:val="00E703D7"/>
    <w:rsid w:val="00E70B76"/>
    <w:rsid w:val="00E70DAB"/>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1A3A"/>
    <w:rsid w:val="00E821AE"/>
    <w:rsid w:val="00E82475"/>
    <w:rsid w:val="00E83A86"/>
    <w:rsid w:val="00E850F3"/>
    <w:rsid w:val="00E8686D"/>
    <w:rsid w:val="00E86A27"/>
    <w:rsid w:val="00E87749"/>
    <w:rsid w:val="00E87B42"/>
    <w:rsid w:val="00E87C7C"/>
    <w:rsid w:val="00E91944"/>
    <w:rsid w:val="00E91C81"/>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CE"/>
    <w:rsid w:val="00EA4048"/>
    <w:rsid w:val="00EA4698"/>
    <w:rsid w:val="00EA4ABA"/>
    <w:rsid w:val="00EA5754"/>
    <w:rsid w:val="00EA5ECE"/>
    <w:rsid w:val="00EA6090"/>
    <w:rsid w:val="00EA706A"/>
    <w:rsid w:val="00EA72E4"/>
    <w:rsid w:val="00EB0299"/>
    <w:rsid w:val="00EB199D"/>
    <w:rsid w:val="00EB1E90"/>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0F8E"/>
    <w:rsid w:val="00EC0FA5"/>
    <w:rsid w:val="00EC11FF"/>
    <w:rsid w:val="00EC193E"/>
    <w:rsid w:val="00EC26DE"/>
    <w:rsid w:val="00EC2860"/>
    <w:rsid w:val="00EC3FDF"/>
    <w:rsid w:val="00EC44FD"/>
    <w:rsid w:val="00EC45A5"/>
    <w:rsid w:val="00EC6842"/>
    <w:rsid w:val="00EC70C6"/>
    <w:rsid w:val="00EC714B"/>
    <w:rsid w:val="00EC7F26"/>
    <w:rsid w:val="00ED02F9"/>
    <w:rsid w:val="00ED0444"/>
    <w:rsid w:val="00ED04EC"/>
    <w:rsid w:val="00ED052F"/>
    <w:rsid w:val="00ED0E29"/>
    <w:rsid w:val="00ED28C4"/>
    <w:rsid w:val="00ED334E"/>
    <w:rsid w:val="00ED3A2A"/>
    <w:rsid w:val="00ED410F"/>
    <w:rsid w:val="00ED4BB7"/>
    <w:rsid w:val="00ED6038"/>
    <w:rsid w:val="00ED653F"/>
    <w:rsid w:val="00ED6550"/>
    <w:rsid w:val="00ED748E"/>
    <w:rsid w:val="00ED7D4A"/>
    <w:rsid w:val="00EE02E3"/>
    <w:rsid w:val="00EE07BA"/>
    <w:rsid w:val="00EE0D34"/>
    <w:rsid w:val="00EE1515"/>
    <w:rsid w:val="00EE27CF"/>
    <w:rsid w:val="00EE2B3F"/>
    <w:rsid w:val="00EE2BF1"/>
    <w:rsid w:val="00EE34FA"/>
    <w:rsid w:val="00EE50CE"/>
    <w:rsid w:val="00EE554E"/>
    <w:rsid w:val="00EE5CD7"/>
    <w:rsid w:val="00EE6B14"/>
    <w:rsid w:val="00EE781A"/>
    <w:rsid w:val="00EF0315"/>
    <w:rsid w:val="00EF1588"/>
    <w:rsid w:val="00EF190D"/>
    <w:rsid w:val="00EF1D12"/>
    <w:rsid w:val="00EF1F1E"/>
    <w:rsid w:val="00EF1F9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337A"/>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E87"/>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5BE"/>
    <w:rsid w:val="00F56998"/>
    <w:rsid w:val="00F56BBE"/>
    <w:rsid w:val="00F579AF"/>
    <w:rsid w:val="00F6121D"/>
    <w:rsid w:val="00F6150C"/>
    <w:rsid w:val="00F61D08"/>
    <w:rsid w:val="00F624BA"/>
    <w:rsid w:val="00F62986"/>
    <w:rsid w:val="00F62CF0"/>
    <w:rsid w:val="00F63935"/>
    <w:rsid w:val="00F64317"/>
    <w:rsid w:val="00F64C5A"/>
    <w:rsid w:val="00F6528B"/>
    <w:rsid w:val="00F6570D"/>
    <w:rsid w:val="00F6590B"/>
    <w:rsid w:val="00F65B12"/>
    <w:rsid w:val="00F65EB0"/>
    <w:rsid w:val="00F66105"/>
    <w:rsid w:val="00F67C85"/>
    <w:rsid w:val="00F67E40"/>
    <w:rsid w:val="00F70605"/>
    <w:rsid w:val="00F70900"/>
    <w:rsid w:val="00F70D49"/>
    <w:rsid w:val="00F718A3"/>
    <w:rsid w:val="00F71DC9"/>
    <w:rsid w:val="00F729CF"/>
    <w:rsid w:val="00F72FC2"/>
    <w:rsid w:val="00F749A8"/>
    <w:rsid w:val="00F74F32"/>
    <w:rsid w:val="00F75C81"/>
    <w:rsid w:val="00F75FA0"/>
    <w:rsid w:val="00F760BB"/>
    <w:rsid w:val="00F76A97"/>
    <w:rsid w:val="00F77CFC"/>
    <w:rsid w:val="00F803E8"/>
    <w:rsid w:val="00F810F2"/>
    <w:rsid w:val="00F81192"/>
    <w:rsid w:val="00F81513"/>
    <w:rsid w:val="00F81D51"/>
    <w:rsid w:val="00F82083"/>
    <w:rsid w:val="00F82179"/>
    <w:rsid w:val="00F826EA"/>
    <w:rsid w:val="00F83522"/>
    <w:rsid w:val="00F83AB3"/>
    <w:rsid w:val="00F859EC"/>
    <w:rsid w:val="00F85AEE"/>
    <w:rsid w:val="00F863D0"/>
    <w:rsid w:val="00F864AB"/>
    <w:rsid w:val="00F86554"/>
    <w:rsid w:val="00F87688"/>
    <w:rsid w:val="00F877F0"/>
    <w:rsid w:val="00F87ECD"/>
    <w:rsid w:val="00F9028E"/>
    <w:rsid w:val="00F909C9"/>
    <w:rsid w:val="00F9171E"/>
    <w:rsid w:val="00F91899"/>
    <w:rsid w:val="00F92268"/>
    <w:rsid w:val="00F933A0"/>
    <w:rsid w:val="00F9341B"/>
    <w:rsid w:val="00F93676"/>
    <w:rsid w:val="00F93AC8"/>
    <w:rsid w:val="00F9431A"/>
    <w:rsid w:val="00F95419"/>
    <w:rsid w:val="00F963B6"/>
    <w:rsid w:val="00F968CF"/>
    <w:rsid w:val="00F96972"/>
    <w:rsid w:val="00F97AE3"/>
    <w:rsid w:val="00FA028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9E6"/>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7C8"/>
    <w:rsid w:val="00FC2ADB"/>
    <w:rsid w:val="00FC2E5F"/>
    <w:rsid w:val="00FC385D"/>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1F25"/>
    <w:rsid w:val="00FD205D"/>
    <w:rsid w:val="00FD26D2"/>
    <w:rsid w:val="00FD2879"/>
    <w:rsid w:val="00FD34F0"/>
    <w:rsid w:val="00FD3BCF"/>
    <w:rsid w:val="00FD4E5D"/>
    <w:rsid w:val="00FD5067"/>
    <w:rsid w:val="00FD6A19"/>
    <w:rsid w:val="00FD75BC"/>
    <w:rsid w:val="00FD7AB8"/>
    <w:rsid w:val="00FE000B"/>
    <w:rsid w:val="00FE057F"/>
    <w:rsid w:val="00FE06ED"/>
    <w:rsid w:val="00FE0C63"/>
    <w:rsid w:val="00FE2763"/>
    <w:rsid w:val="00FE2B1A"/>
    <w:rsid w:val="00FE2E74"/>
    <w:rsid w:val="00FE3153"/>
    <w:rsid w:val="00FE3327"/>
    <w:rsid w:val="00FE357C"/>
    <w:rsid w:val="00FE3FB8"/>
    <w:rsid w:val="00FE41B8"/>
    <w:rsid w:val="00FE4729"/>
    <w:rsid w:val="00FE4D3E"/>
    <w:rsid w:val="00FE4F0E"/>
    <w:rsid w:val="00FE5334"/>
    <w:rsid w:val="00FE6B5A"/>
    <w:rsid w:val="00FE6BAD"/>
    <w:rsid w:val="00FE78A7"/>
    <w:rsid w:val="00FE7C80"/>
    <w:rsid w:val="00FF2F94"/>
    <w:rsid w:val="00FF35C5"/>
    <w:rsid w:val="00FF37B2"/>
    <w:rsid w:val="00FF530E"/>
    <w:rsid w:val="00FF5C3C"/>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D5E448"/>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0E44D1"/>
    <w:pPr>
      <w:outlineLvl w:val="3"/>
    </w:pPr>
    <w:rPr>
      <w:b w:val="0"/>
      <w:bCs w:val="0"/>
      <w:sz w:val="28"/>
    </w:rPr>
  </w:style>
  <w:style w:type="paragraph" w:styleId="Heading5">
    <w:name w:val="heading 5"/>
    <w:basedOn w:val="Normal"/>
    <w:next w:val="Normal"/>
    <w:link w:val="Heading5Char"/>
    <w:unhideWhenUsed/>
    <w:qFormat/>
    <w:rsid w:val="002972D2"/>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0E44D1"/>
    <w:rPr>
      <w:rFonts w:ascii="CVS Health Sans" w:eastAsiaTheme="majorEastAsia" w:hAnsi="CVS Health Sans" w:cs="Arial"/>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2972D2"/>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Unpadded">
    <w:name w:val="Table Data Unpadded"/>
    <w:basedOn w:val="BodyText"/>
    <w:link w:val="TableDataUnpaddedChar"/>
    <w:qFormat/>
    <w:rsid w:val="00FA79E6"/>
    <w:rPr>
      <w:rFonts w:eastAsia="Arial"/>
    </w:rPr>
  </w:style>
  <w:style w:type="character" w:customStyle="1" w:styleId="TableDataUnpaddedChar">
    <w:name w:val="Table Data Unpadded Char"/>
    <w:basedOn w:val="DefaultParagraphFont"/>
    <w:link w:val="TableDataUnpadded"/>
    <w:rsid w:val="00FA79E6"/>
    <w:rPr>
      <w:rFonts w:ascii="CVS Health Sans" w:eastAsia="Arial" w:hAnsi="CVS Health Sans" w:cs="Arial"/>
      <w:sz w:val="22"/>
      <w:szCs w:val="22"/>
    </w:rPr>
  </w:style>
  <w:style w:type="table" w:customStyle="1" w:styleId="TableGrid1">
    <w:name w:val="Table Grid1"/>
    <w:basedOn w:val="TableNormal"/>
    <w:next w:val="TableGrid"/>
    <w:uiPriority w:val="59"/>
    <w:rsid w:val="002A48D2"/>
    <w:rPr>
      <w:rFonts w:asci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77165841">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1967463364">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B6C42F-0F3A-451A-B032-B4FA737A3D1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1E6D9513-FEE7-4D5A-8D5E-0F6E898FF51B}"/>
</file>

<file path=customXml/itemProps3.xml><?xml version="1.0" encoding="utf-8"?>
<ds:datastoreItem xmlns:ds="http://schemas.openxmlformats.org/officeDocument/2006/customXml" ds:itemID="{A243CFE1-08DE-432F-83DD-4933F5F97812}">
  <ds:schemaRefs>
    <ds:schemaRef ds:uri="http://purl.org/dc/terms/"/>
    <ds:schemaRef ds:uri="http://schemas.microsoft.com/office/2006/documentManagement/types"/>
    <ds:schemaRef ds:uri="3d05f658-b5f7-4df6-8c02-f51ceb2e0127"/>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bed7683f-31c5-4c04-bbbd-fa4ba9c25b3c"/>
    <ds:schemaRef ds:uri="http://www.w3.org/XML/1998/namespace"/>
    <ds:schemaRef ds:uri="http://purl.org/dc/dcmitype/"/>
  </ds:schemaRefs>
</ds:datastoreItem>
</file>

<file path=customXml/itemProps4.xml><?xml version="1.0" encoding="utf-8"?>
<ds:datastoreItem xmlns:ds="http://schemas.openxmlformats.org/officeDocument/2006/customXml" ds:itemID="{4A7F81AD-9CFD-4156-AD97-1CF8E0ECD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1365</Words>
  <Characters>9287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Antiemetic 5-HT3 Post Limit PA Policy 16-J UDR 01-2024a</vt:lpstr>
    </vt:vector>
  </TitlesOfParts>
  <Company>PCS Health Systems</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Antiemetic 5-HT3 Post Limit PA 16-J</dc:title>
  <dc:subject>Antiemetic 5-HT3 Post Limit PA 16-J</dc:subject>
  <dc:creator>CVS Caremark</dc:creator>
  <cp:keywords/>
  <cp:lastModifiedBy>Ortiz, Erica M</cp:lastModifiedBy>
  <cp:revision>4</cp:revision>
  <cp:lastPrinted>2024-04-03T07:28:00Z</cp:lastPrinted>
  <dcterms:created xsi:type="dcterms:W3CDTF">2025-04-29T21:52:00Z</dcterms:created>
  <dcterms:modified xsi:type="dcterms:W3CDTF">2025-04-29T21:55:00Z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147300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